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lang w:eastAsia="zh-CN"/>
        </w:rPr>
      </w:pPr>
      <w:r>
        <w:rPr>
          <w:rFonts w:hint="eastAsia" w:ascii="华文中宋" w:hAnsi="华文中宋" w:eastAsia="华文中宋" w:cs="华文中宋"/>
          <w:b/>
          <w:bCs/>
          <w:shadow/>
          <w:sz w:val="56"/>
          <w:szCs w:val="56"/>
          <w:lang w:eastAsia="zh-CN"/>
        </w:rPr>
        <w:t>湖</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北</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汉</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江</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技</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师</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学</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院</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 争 性 谈 判 文 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HJJS2025090501</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lang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宿舍报警防范系统采购项目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九</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ADF6C8A">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宿舍报警防范系统采购项目</w:t>
            </w:r>
            <w:r>
              <w:rPr>
                <w:rFonts w:hint="eastAsia"/>
              </w:rPr>
              <w:t>，并于</w:t>
            </w:r>
            <w:r>
              <w:rPr>
                <w:rFonts w:hint="eastAsia"/>
                <w:lang w:eastAsia="zh-CN"/>
              </w:rPr>
              <w:t>2025年9月5日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14:paraId="1982CDB6">
      <w:pPr>
        <w:ind w:firstLine="480" w:firstLineChars="200"/>
        <w:rPr>
          <w:b/>
          <w:bCs/>
        </w:rPr>
      </w:pPr>
      <w:bookmarkStart w:id="1" w:name="_Toc28359014"/>
      <w:bookmarkStart w:id="2" w:name="_Toc35393800"/>
      <w:bookmarkStart w:id="3" w:name="_Toc28359091"/>
      <w:bookmarkStart w:id="4" w:name="_Toc35393631"/>
      <w:r>
        <w:rPr>
          <w:rFonts w:hint="eastAsia"/>
          <w:b/>
          <w:bCs/>
        </w:rPr>
        <w:t>一、项目基本情况</w:t>
      </w:r>
    </w:p>
    <w:p w14:paraId="7DD174D0">
      <w:pPr>
        <w:ind w:firstLine="480" w:firstLineChars="200"/>
        <w:rPr>
          <w:rFonts w:hint="eastAsia" w:ascii="仿宋" w:hAnsi="仿宋" w:cs="仿宋"/>
          <w:u w:val="single"/>
          <w:lang w:val="en-US" w:eastAsia="zh-CN"/>
        </w:rPr>
      </w:pPr>
      <w:r>
        <w:rPr>
          <w:rFonts w:hint="eastAsia"/>
        </w:rPr>
        <w:t>1. 项目编号：</w:t>
      </w:r>
      <w:r>
        <w:rPr>
          <w:rFonts w:hint="eastAsia"/>
          <w:lang w:eastAsia="zh-CN"/>
        </w:rPr>
        <w:t>HJJS2025090501</w:t>
      </w:r>
      <w:r>
        <w:rPr>
          <w:rFonts w:hint="eastAsia" w:ascii="仿宋" w:hAnsi="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宿舍报警防范系统采购项目</w:t>
      </w:r>
    </w:p>
    <w:p w14:paraId="04DBF051">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615A2154">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31440</w:t>
      </w:r>
      <w:r>
        <w:rPr>
          <w:rFonts w:hint="eastAsia" w:ascii="仿宋" w:hAnsi="仿宋" w:cs="仿宋"/>
        </w:rPr>
        <w:t>（元）</w:t>
      </w:r>
    </w:p>
    <w:p w14:paraId="06A94F46">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31440</w:t>
      </w:r>
      <w:r>
        <w:rPr>
          <w:rFonts w:hint="eastAsia" w:ascii="仿宋" w:hAnsi="仿宋" w:cs="仿宋"/>
        </w:rPr>
        <w:t>（元）</w:t>
      </w:r>
    </w:p>
    <w:p w14:paraId="5B971766">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30天</w:t>
      </w:r>
    </w:p>
    <w:p w14:paraId="51197D0F">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6AF8B8D1">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3EE19F3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p w14:paraId="2EF0967B">
      <w:pPr>
        <w:ind w:firstLine="480" w:firstLineChars="200"/>
        <w:rPr>
          <w:rFonts w:ascii="仿宋" w:hAnsi="仿宋" w:cs="仿宋"/>
        </w:rPr>
      </w:pPr>
      <w:r>
        <w:rPr>
          <w:rFonts w:hint="eastAsia" w:ascii="仿宋" w:hAnsi="仿宋" w:cs="仿宋"/>
        </w:rPr>
        <w:t>6.1供应商近三年（投标截止之日起前三年，以合同签订时间为准）有类似供货安装业绩，须</w:t>
      </w:r>
      <w:r>
        <w:rPr>
          <w:rFonts w:hint="eastAsia" w:ascii="仿宋" w:hAnsi="仿宋" w:cs="仿宋"/>
          <w:lang w:val="en-US" w:eastAsia="zh-CN"/>
        </w:rPr>
        <w:t>在响应文件中</w:t>
      </w:r>
      <w:r>
        <w:rPr>
          <w:rFonts w:hint="eastAsia" w:ascii="仿宋" w:hAnsi="仿宋" w:cs="仿宋"/>
        </w:rPr>
        <w:t>提供合同</w:t>
      </w:r>
      <w:r>
        <w:rPr>
          <w:rFonts w:hint="eastAsia" w:ascii="仿宋" w:hAnsi="仿宋" w:cs="仿宋"/>
          <w:lang w:val="en-US" w:eastAsia="zh-CN"/>
        </w:rPr>
        <w:t>复印件</w:t>
      </w:r>
      <w:r>
        <w:rPr>
          <w:rFonts w:hint="eastAsia" w:ascii="仿宋" w:hAnsi="仿宋" w:cs="仿宋"/>
        </w:rPr>
        <w:t>作为证明材料。</w:t>
      </w:r>
    </w:p>
    <w:bookmarkEnd w:id="1"/>
    <w:bookmarkEnd w:id="2"/>
    <w:bookmarkEnd w:id="3"/>
    <w:bookmarkEnd w:id="4"/>
    <w:p w14:paraId="63146B19">
      <w:pPr>
        <w:ind w:firstLine="480" w:firstLineChars="200"/>
        <w:rPr>
          <w:rFonts w:hint="eastAsia" w:ascii="仿宋" w:hAnsi="仿宋" w:cs="仿宋"/>
          <w:b/>
          <w:bCs/>
        </w:rPr>
      </w:pPr>
      <w:bookmarkStart w:id="5" w:name="_Toc28359093"/>
      <w:bookmarkStart w:id="6" w:name="_Toc35393802"/>
      <w:bookmarkStart w:id="7" w:name="_Toc35393633"/>
      <w:bookmarkStart w:id="8" w:name="_Toc28359016"/>
      <w:r>
        <w:rPr>
          <w:rFonts w:hint="eastAsia" w:ascii="仿宋" w:hAnsi="仿宋" w:cs="仿宋"/>
          <w:b/>
          <w:bCs/>
          <w:lang w:val="en-US" w:eastAsia="zh-CN"/>
        </w:rPr>
        <w:t>三</w:t>
      </w:r>
      <w:r>
        <w:rPr>
          <w:rFonts w:hint="eastAsia" w:ascii="仿宋" w:hAnsi="仿宋" w:cs="仿宋"/>
          <w:b/>
          <w:bCs/>
        </w:rPr>
        <w:t>、报名时间</w:t>
      </w:r>
    </w:p>
    <w:p w14:paraId="772C3395">
      <w:pPr>
        <w:pStyle w:val="13"/>
        <w:ind w:firstLine="480" w:firstLineChars="200"/>
        <w:rPr>
          <w:rFonts w:hint="eastAsia"/>
          <w:lang w:val="en-US" w:eastAsia="zh-CN"/>
        </w:rPr>
      </w:pPr>
      <w:r>
        <w:rPr>
          <w:rFonts w:hint="eastAsia"/>
          <w:lang w:val="en-US" w:eastAsia="zh-CN"/>
        </w:rPr>
        <w:t>凡有意报名的供应商请于2025年9月4日（星期四）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2025年9月5日9</w:t>
      </w:r>
      <w:r>
        <w:rPr>
          <w:rFonts w:hint="eastAsia" w:ascii="仿宋" w:hAnsi="仿宋" w:cs="仿宋"/>
          <w:szCs w:val="24"/>
        </w:rPr>
        <w:t>时</w:t>
      </w:r>
      <w:r>
        <w:rPr>
          <w:rFonts w:hint="eastAsia" w:ascii="仿宋" w:hAnsi="仿宋" w:cs="仿宋"/>
          <w:szCs w:val="24"/>
          <w:u w:val="single"/>
          <w:lang w:val="en-US" w:eastAsia="zh-CN"/>
        </w:rPr>
        <w:t>00</w:t>
      </w:r>
      <w:r>
        <w:rPr>
          <w:rFonts w:hint="eastAsia" w:ascii="仿宋" w:hAnsi="仿宋" w:cs="仿宋"/>
          <w:szCs w:val="24"/>
        </w:rPr>
        <w:t>分（北京时间）</w:t>
      </w:r>
    </w:p>
    <w:p w14:paraId="588C4B8C">
      <w:pPr>
        <w:ind w:firstLine="480" w:firstLineChars="200"/>
        <w:rPr>
          <w:rFonts w:hint="default" w:ascii="仿宋" w:hAnsi="仿宋" w:eastAsia="仿宋" w:cs="仿宋"/>
          <w:lang w:val="en-US" w:eastAsia="zh-CN"/>
        </w:rPr>
      </w:pPr>
      <w:r>
        <w:rPr>
          <w:rFonts w:hint="eastAsia" w:ascii="仿宋" w:hAnsi="仿宋" w:cs="仿宋"/>
        </w:rPr>
        <w:t>2.地    点：湖北汉江技师学院（湖北省十堰市经济技术开发区龙门大道25号）图书信息中心</w:t>
      </w:r>
      <w:r>
        <w:rPr>
          <w:rFonts w:hint="eastAsia" w:ascii="仿宋" w:hAnsi="仿宋" w:cs="仿宋"/>
          <w:lang w:val="en-US" w:eastAsia="zh-CN"/>
        </w:rPr>
        <w:t>5-13</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35393803"/>
      <w:bookmarkStart w:id="10" w:name="_Toc28359017"/>
      <w:bookmarkStart w:id="11" w:name="_Toc35393634"/>
      <w:bookmarkStart w:id="12" w:name="_Toc28359094"/>
      <w:r>
        <w:rPr>
          <w:rFonts w:hint="eastAsia" w:ascii="仿宋" w:hAnsi="仿宋" w:cs="仿宋"/>
        </w:rPr>
        <w:t>1.时间：</w:t>
      </w:r>
      <w:r>
        <w:rPr>
          <w:rFonts w:hint="eastAsia" w:ascii="仿宋" w:hAnsi="仿宋" w:cs="仿宋"/>
          <w:szCs w:val="24"/>
          <w:u w:val="single"/>
          <w:lang w:val="en-US" w:eastAsia="zh-CN"/>
        </w:rPr>
        <w:t>2025年9月5日9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hint="default" w:ascii="仿宋" w:hAnsi="仿宋" w:eastAsia="仿宋" w:cs="仿宋"/>
          <w:lang w:val="en-US" w:eastAsia="zh-CN"/>
        </w:rPr>
      </w:pPr>
      <w:r>
        <w:rPr>
          <w:rFonts w:hint="eastAsia" w:ascii="仿宋" w:hAnsi="仿宋" w:cs="仿宋"/>
        </w:rPr>
        <w:t>2.地点：湖北汉江技师学院（湖北省十堰市经济技术开发区龙门大道25号）图书信息中心</w:t>
      </w:r>
      <w:r>
        <w:rPr>
          <w:rFonts w:hint="eastAsia" w:ascii="仿宋" w:hAnsi="仿宋" w:cs="仿宋"/>
          <w:lang w:val="en-US" w:eastAsia="zh-CN"/>
        </w:rPr>
        <w:t>5-13</w:t>
      </w:r>
    </w:p>
    <w:bookmarkEnd w:id="9"/>
    <w:bookmarkEnd w:id="10"/>
    <w:bookmarkEnd w:id="11"/>
    <w:bookmarkEnd w:id="12"/>
    <w:p w14:paraId="59EBF885">
      <w:pPr>
        <w:ind w:firstLine="480" w:firstLineChars="200"/>
        <w:rPr>
          <w:rFonts w:hint="eastAsia" w:eastAsia="仿宋"/>
          <w:b/>
          <w:bCs/>
          <w:lang w:val="en-US" w:eastAsia="zh-CN"/>
        </w:rPr>
      </w:pPr>
      <w:bookmarkStart w:id="13" w:name="_Toc28359018"/>
      <w:bookmarkStart w:id="14" w:name="_Toc28359095"/>
      <w:bookmarkStart w:id="15" w:name="_Toc35393805"/>
      <w:bookmarkStart w:id="16" w:name="_Toc35393636"/>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28359096"/>
      <w:bookmarkStart w:id="19" w:name="_Toc35393637"/>
      <w:bookmarkStart w:id="20" w:name="_Toc35393806"/>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int="eastAsia" w:hAnsi="仿宋"/>
          <w:color w:val="333333"/>
          <w:sz w:val="24"/>
          <w:shd w:val="clear" w:color="auto" w:fill="FFFFFF"/>
          <w:lang w:eastAsia="zh-CN"/>
        </w:rPr>
        <w:t>湖北汉江技师学院</w:t>
      </w:r>
      <w:r>
        <w:rPr>
          <w:rFonts w:hint="eastAsia"/>
        </w:rPr>
        <w:t xml:space="preserve"> </w:t>
      </w:r>
    </w:p>
    <w:p w14:paraId="2F61865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54024F2D">
      <w:pPr>
        <w:ind w:firstLine="720" w:firstLineChars="300"/>
      </w:pPr>
      <w:r>
        <w:rPr>
          <w:rFonts w:hint="eastAsia"/>
        </w:rPr>
        <w:t>联系电话：0719-8418</w:t>
      </w:r>
      <w:r>
        <w:rPr>
          <w:rFonts w:hint="eastAsia"/>
          <w:lang w:val="en-US" w:eastAsia="zh-CN"/>
        </w:rPr>
        <w:t>988</w:t>
      </w:r>
      <w:r>
        <w:t xml:space="preserve">   </w:t>
      </w:r>
    </w:p>
    <w:p w14:paraId="5300A556">
      <w:r>
        <w:br w:type="page"/>
      </w:r>
    </w:p>
    <w:p w14:paraId="3E6FE9C3">
      <w:pPr>
        <w:numPr>
          <w:ilvl w:val="0"/>
          <w:numId w:val="2"/>
        </w:numPr>
        <w:jc w:val="center"/>
        <w:outlineLvl w:val="0"/>
        <w:rPr>
          <w:rFonts w:hint="eastAsia" w:ascii="黑体" w:hAnsi="黑体" w:eastAsia="黑体" w:cs="黑体"/>
          <w:sz w:val="32"/>
          <w:szCs w:val="32"/>
        </w:rPr>
      </w:pPr>
      <w:r>
        <w:t xml:space="preserve">    </w:t>
      </w:r>
      <w:bookmarkStart w:id="21" w:name="_Toc3877"/>
      <w:bookmarkStart w:id="22" w:name="_Toc54735148"/>
      <w:bookmarkStart w:id="23" w:name="_Toc7105845"/>
      <w:bookmarkStart w:id="24" w:name="_Toc20315598"/>
      <w:bookmarkStart w:id="25" w:name="_Toc20315712"/>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谈判响应文件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w:t>
      </w:r>
      <w:r>
        <w:rPr>
          <w:rStyle w:val="33"/>
          <w:rFonts w:hint="eastAsia" w:ascii="仿宋" w:hAnsi="仿宋" w:cs="仿宋"/>
          <w:color w:val="auto"/>
          <w:sz w:val="24"/>
          <w:szCs w:val="24"/>
          <w:highlight w:val="none"/>
          <w:lang w:val="en-US" w:eastAsia="zh-CN"/>
        </w:rPr>
        <w:t>1</w:t>
      </w:r>
      <w:r>
        <w:rPr>
          <w:rStyle w:val="33"/>
          <w:rFonts w:hint="eastAsia" w:ascii="仿宋" w:hAnsi="仿宋" w:eastAsia="仿宋" w:cs="仿宋"/>
          <w:color w:val="auto"/>
          <w:sz w:val="24"/>
          <w:szCs w:val="24"/>
          <w:highlight w:val="none"/>
        </w:rPr>
        <w:t>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cs="仿宋"/>
          <w:b/>
          <w:color w:val="auto"/>
          <w:sz w:val="24"/>
          <w:szCs w:val="24"/>
          <w:highlight w:val="yellow"/>
          <w:lang w:eastAsia="zh-CN"/>
        </w:rPr>
        <w:t>2025年9月5日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5EB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3EF055F">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57AA3BF0">
            <w:pPr>
              <w:spacing w:line="340" w:lineRule="exact"/>
              <w:rPr>
                <w:rFonts w:hint="eastAsia" w:ascii="仿宋" w:hAnsi="仿宋" w:eastAsia="仿宋" w:cs="仿宋"/>
                <w:color w:val="auto"/>
                <w:sz w:val="24"/>
                <w:highlight w:val="none"/>
                <w:lang w:eastAsia="zh-CN"/>
              </w:rPr>
            </w:pPr>
            <w:r>
              <w:rPr>
                <w:rFonts w:hint="eastAsia" w:ascii="仿宋" w:hAnsi="仿宋" w:cs="仿宋"/>
              </w:rPr>
              <w:t>供应商近三年（投标截止之日起前三年，以合同签订时间为准）有类似供货安装业绩</w:t>
            </w:r>
            <w:r>
              <w:rPr>
                <w:rFonts w:hint="eastAsia" w:ascii="仿宋" w:hAnsi="仿宋" w:cs="仿宋"/>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7839EB85">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6F94E6AC">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0"/>
        <w:gridCol w:w="3320"/>
      </w:tblGrid>
      <w:tr w14:paraId="1B28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1D169574">
            <w:pPr>
              <w:pStyle w:val="19"/>
              <w:widowControl/>
              <w:numPr>
                <w:ilvl w:val="0"/>
                <w:numId w:val="0"/>
              </w:numPr>
              <w:wordWrap w:val="0"/>
              <w:spacing w:before="0" w:beforeAutospacing="0" w:after="0" w:afterAutospacing="0" w:line="360" w:lineRule="auto"/>
              <w:jc w:val="center"/>
              <w:outlineLvl w:val="0"/>
              <w:rPr>
                <w:rFonts w:hint="eastAsia" w:ascii="Times New Roman" w:hAnsi="Times New Roman" w:eastAsia="仿宋" w:cs="Times New Roman"/>
                <w:kern w:val="0"/>
                <w:sz w:val="28"/>
                <w:szCs w:val="21"/>
                <w:vertAlign w:val="baseline"/>
                <w:lang w:val="en-US" w:eastAsia="zh-CN"/>
              </w:rPr>
            </w:pPr>
            <w:r>
              <w:rPr>
                <w:rFonts w:hint="eastAsia" w:ascii="仿宋" w:hAnsi="仿宋" w:eastAsia="仿宋" w:cs="仿宋"/>
                <w:sz w:val="28"/>
                <w:szCs w:val="28"/>
              </w:rPr>
              <w:t>名称</w:t>
            </w:r>
          </w:p>
        </w:tc>
        <w:tc>
          <w:tcPr>
            <w:tcW w:w="3320" w:type="dxa"/>
            <w:vAlign w:val="center"/>
          </w:tcPr>
          <w:p w14:paraId="3C4AE703">
            <w:pPr>
              <w:pStyle w:val="19"/>
              <w:widowControl/>
              <w:numPr>
                <w:ilvl w:val="0"/>
                <w:numId w:val="0"/>
              </w:numPr>
              <w:wordWrap w:val="0"/>
              <w:spacing w:before="0" w:beforeAutospacing="0" w:after="0" w:afterAutospacing="0" w:line="360" w:lineRule="auto"/>
              <w:jc w:val="center"/>
              <w:outlineLvl w:val="0"/>
              <w:rPr>
                <w:rFonts w:hint="default" w:ascii="Times New Roman" w:hAnsi="Times New Roman" w:eastAsia="仿宋" w:cs="Times New Roman"/>
                <w:kern w:val="0"/>
                <w:sz w:val="28"/>
                <w:szCs w:val="21"/>
                <w:vertAlign w:val="baseline"/>
                <w:lang w:val="en-US" w:eastAsia="zh-CN"/>
              </w:rPr>
            </w:pPr>
            <w:r>
              <w:rPr>
                <w:rFonts w:hint="eastAsia" w:cs="Times New Roman"/>
                <w:kern w:val="0"/>
                <w:sz w:val="28"/>
                <w:szCs w:val="21"/>
                <w:vertAlign w:val="baseline"/>
                <w:lang w:val="en-US" w:eastAsia="zh-CN"/>
              </w:rPr>
              <w:t>数量</w:t>
            </w:r>
          </w:p>
        </w:tc>
        <w:tc>
          <w:tcPr>
            <w:tcW w:w="3320" w:type="dxa"/>
            <w:vAlign w:val="center"/>
          </w:tcPr>
          <w:p w14:paraId="1B03EE22">
            <w:pPr>
              <w:pStyle w:val="19"/>
              <w:widowControl/>
              <w:numPr>
                <w:ilvl w:val="0"/>
                <w:numId w:val="0"/>
              </w:numPr>
              <w:wordWrap w:val="0"/>
              <w:spacing w:before="0" w:beforeAutospacing="0" w:after="0" w:afterAutospacing="0" w:line="360" w:lineRule="auto"/>
              <w:jc w:val="center"/>
              <w:outlineLvl w:val="0"/>
              <w:rPr>
                <w:rFonts w:hint="eastAsia" w:cs="Times New Roman"/>
                <w:kern w:val="0"/>
                <w:sz w:val="28"/>
                <w:szCs w:val="21"/>
                <w:vertAlign w:val="baseline"/>
                <w:lang w:val="en-US" w:eastAsia="zh-CN"/>
              </w:rPr>
            </w:pPr>
            <w:r>
              <w:rPr>
                <w:rFonts w:hint="eastAsia" w:ascii="Times New Roman" w:hAnsi="Times New Roman" w:eastAsia="仿宋" w:cs="Times New Roman"/>
                <w:kern w:val="0"/>
                <w:sz w:val="28"/>
                <w:szCs w:val="21"/>
              </w:rPr>
              <w:t>设备功能用途描述</w:t>
            </w:r>
          </w:p>
        </w:tc>
      </w:tr>
      <w:tr w14:paraId="360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3F567035">
            <w:pPr>
              <w:pStyle w:val="19"/>
              <w:widowControl/>
              <w:numPr>
                <w:ilvl w:val="0"/>
                <w:numId w:val="0"/>
              </w:numPr>
              <w:wordWrap w:val="0"/>
              <w:spacing w:before="0" w:beforeAutospacing="0" w:after="0" w:afterAutospacing="0" w:line="360" w:lineRule="auto"/>
              <w:jc w:val="center"/>
              <w:outlineLvl w:val="0"/>
              <w:rPr>
                <w:rFonts w:hint="eastAsia" w:ascii="Times New Roman" w:hAnsi="Times New Roman" w:eastAsia="仿宋" w:cs="Times New Roman"/>
                <w:kern w:val="0"/>
                <w:sz w:val="28"/>
                <w:szCs w:val="21"/>
                <w:vertAlign w:val="baseline"/>
                <w:lang w:val="en-US" w:eastAsia="zh-CN"/>
              </w:rPr>
            </w:pPr>
            <w:r>
              <w:rPr>
                <w:rFonts w:hint="eastAsia" w:ascii="Times New Roman" w:hAnsi="Times New Roman" w:eastAsia="仿宋" w:cs="Times New Roman"/>
                <w:kern w:val="0"/>
                <w:sz w:val="28"/>
                <w:szCs w:val="21"/>
                <w:lang w:val="en-US" w:eastAsia="zh-CN"/>
              </w:rPr>
              <w:t>宿舍报警防范系统</w:t>
            </w:r>
          </w:p>
        </w:tc>
        <w:tc>
          <w:tcPr>
            <w:tcW w:w="3320" w:type="dxa"/>
            <w:vAlign w:val="center"/>
          </w:tcPr>
          <w:p w14:paraId="2DAB3FBF">
            <w:pPr>
              <w:pStyle w:val="19"/>
              <w:widowControl/>
              <w:numPr>
                <w:ilvl w:val="0"/>
                <w:numId w:val="0"/>
              </w:numPr>
              <w:wordWrap w:val="0"/>
              <w:spacing w:before="0" w:beforeAutospacing="0" w:after="0" w:afterAutospacing="0" w:line="360" w:lineRule="auto"/>
              <w:jc w:val="center"/>
              <w:outlineLvl w:val="0"/>
              <w:rPr>
                <w:rFonts w:hint="eastAsia" w:cs="Times New Roman"/>
                <w:kern w:val="0"/>
                <w:sz w:val="28"/>
                <w:szCs w:val="21"/>
                <w:vertAlign w:val="baseline"/>
                <w:lang w:val="en-US" w:eastAsia="zh-CN"/>
              </w:rPr>
            </w:pPr>
            <w:r>
              <w:rPr>
                <w:rFonts w:hint="eastAsia" w:cs="Times New Roman"/>
                <w:kern w:val="0"/>
                <w:sz w:val="28"/>
                <w:szCs w:val="21"/>
                <w:vertAlign w:val="baseline"/>
                <w:lang w:val="en-US" w:eastAsia="zh-CN"/>
              </w:rPr>
              <w:t>4套</w:t>
            </w:r>
          </w:p>
          <w:p w14:paraId="04000E45">
            <w:pPr>
              <w:pStyle w:val="19"/>
              <w:widowControl/>
              <w:numPr>
                <w:ilvl w:val="0"/>
                <w:numId w:val="0"/>
              </w:numPr>
              <w:wordWrap w:val="0"/>
              <w:spacing w:before="0" w:beforeAutospacing="0" w:after="0" w:afterAutospacing="0" w:line="360" w:lineRule="auto"/>
              <w:jc w:val="center"/>
              <w:outlineLvl w:val="0"/>
              <w:rPr>
                <w:rFonts w:hint="default" w:cs="Times New Roman"/>
                <w:kern w:val="0"/>
                <w:sz w:val="28"/>
                <w:szCs w:val="21"/>
                <w:vertAlign w:val="baseline"/>
                <w:lang w:val="en-US" w:eastAsia="zh-CN"/>
              </w:rPr>
            </w:pPr>
            <w:r>
              <w:rPr>
                <w:rFonts w:hint="eastAsia" w:cs="Times New Roman"/>
                <w:kern w:val="0"/>
                <w:sz w:val="28"/>
                <w:szCs w:val="21"/>
                <w:lang w:val="en-US" w:eastAsia="zh-CN"/>
              </w:rPr>
              <w:t>（在4#、5#、6#、7#四栋宿舍楼外安装红外防入侵报警装置）</w:t>
            </w:r>
          </w:p>
        </w:tc>
        <w:tc>
          <w:tcPr>
            <w:tcW w:w="3320" w:type="dxa"/>
            <w:vAlign w:val="center"/>
          </w:tcPr>
          <w:p w14:paraId="7D6E529F">
            <w:pPr>
              <w:pStyle w:val="19"/>
              <w:widowControl/>
              <w:numPr>
                <w:ilvl w:val="0"/>
                <w:numId w:val="0"/>
              </w:numPr>
              <w:wordWrap w:val="0"/>
              <w:spacing w:before="0" w:beforeAutospacing="0" w:after="0" w:afterAutospacing="0" w:line="360" w:lineRule="auto"/>
              <w:jc w:val="center"/>
              <w:outlineLvl w:val="0"/>
              <w:rPr>
                <w:rFonts w:hint="eastAsia" w:cs="Times New Roman"/>
                <w:kern w:val="0"/>
                <w:sz w:val="28"/>
                <w:szCs w:val="21"/>
                <w:vertAlign w:val="baseline"/>
                <w:lang w:val="en-US" w:eastAsia="zh-CN"/>
              </w:rPr>
            </w:pPr>
            <w:r>
              <w:rPr>
                <w:rFonts w:hint="eastAsia" w:ascii="Times New Roman" w:hAnsi="Times New Roman" w:eastAsia="仿宋" w:cs="Times New Roman"/>
                <w:kern w:val="0"/>
                <w:sz w:val="28"/>
                <w:szCs w:val="21"/>
                <w:lang w:val="en-US" w:eastAsia="zh-CN"/>
              </w:rPr>
              <w:t>能有效防范非法靠近宿舍的可疑人员，当有可疑人员非法靠近建筑物时，有效触发现场红外光栅系统，同时将信息传送至安装在值班室的报警主机，发出报警信息，通知管理人员，现场发出报警声直到警情解除。</w:t>
            </w:r>
          </w:p>
        </w:tc>
      </w:tr>
    </w:tbl>
    <w:p w14:paraId="3FC4A195">
      <w:pPr>
        <w:pStyle w:val="19"/>
        <w:widowControl/>
        <w:numPr>
          <w:ilvl w:val="0"/>
          <w:numId w:val="0"/>
        </w:numPr>
        <w:wordWrap w:val="0"/>
        <w:spacing w:before="0" w:beforeAutospacing="0" w:after="0" w:afterAutospacing="0" w:line="360" w:lineRule="auto"/>
        <w:jc w:val="both"/>
        <w:outlineLvl w:val="0"/>
        <w:rPr>
          <w:rFonts w:hint="eastAsia" w:cs="Times New Roman"/>
          <w:kern w:val="0"/>
          <w:sz w:val="28"/>
          <w:szCs w:val="21"/>
          <w:lang w:val="en-US" w:eastAsia="zh-CN"/>
        </w:rPr>
      </w:pPr>
    </w:p>
    <w:p w14:paraId="728F5550">
      <w:pPr>
        <w:pStyle w:val="19"/>
        <w:widowControl/>
        <w:numPr>
          <w:ilvl w:val="0"/>
          <w:numId w:val="0"/>
        </w:numPr>
        <w:wordWrap w:val="0"/>
        <w:spacing w:before="0" w:beforeAutospacing="0" w:after="0" w:afterAutospacing="0" w:line="360" w:lineRule="auto"/>
        <w:jc w:val="both"/>
        <w:outlineLvl w:val="0"/>
        <w:rPr>
          <w:rFonts w:hint="default" w:ascii="Times New Roman" w:hAnsi="Times New Roman" w:eastAsia="仿宋" w:cs="Times New Roman"/>
          <w:kern w:val="0"/>
          <w:sz w:val="28"/>
          <w:szCs w:val="21"/>
          <w:lang w:val="en-US" w:eastAsia="zh-CN"/>
        </w:rPr>
      </w:pPr>
      <w:r>
        <w:rPr>
          <w:rFonts w:hint="eastAsia" w:cs="Times New Roman"/>
          <w:kern w:val="0"/>
          <w:sz w:val="28"/>
          <w:szCs w:val="21"/>
          <w:lang w:val="en-US" w:eastAsia="zh-CN"/>
        </w:rPr>
        <w:t>一套</w:t>
      </w:r>
      <w:r>
        <w:rPr>
          <w:rFonts w:hint="eastAsia" w:ascii="Times New Roman" w:hAnsi="Times New Roman" w:eastAsia="仿宋" w:cs="Times New Roman"/>
          <w:kern w:val="0"/>
          <w:sz w:val="28"/>
          <w:szCs w:val="21"/>
          <w:lang w:val="en-US" w:eastAsia="zh-CN"/>
        </w:rPr>
        <w:t>宿舍报警防范系统</w:t>
      </w:r>
      <w:r>
        <w:rPr>
          <w:rFonts w:hint="eastAsia" w:cs="Times New Roman"/>
          <w:kern w:val="0"/>
          <w:sz w:val="28"/>
          <w:szCs w:val="21"/>
          <w:lang w:val="en-US" w:eastAsia="zh-CN"/>
        </w:rPr>
        <w:t>详细清单：</w:t>
      </w:r>
    </w:p>
    <w:tbl>
      <w:tblPr>
        <w:tblStyle w:val="32"/>
        <w:tblW w:w="50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96"/>
        <w:gridCol w:w="766"/>
        <w:gridCol w:w="4708"/>
        <w:gridCol w:w="689"/>
        <w:gridCol w:w="763"/>
        <w:gridCol w:w="1173"/>
      </w:tblGrid>
      <w:tr w14:paraId="2559C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07" w:type="pct"/>
            <w:vAlign w:val="center"/>
          </w:tcPr>
          <w:p w14:paraId="6AB22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387" w:type="pct"/>
            <w:vAlign w:val="center"/>
          </w:tcPr>
          <w:p w14:paraId="35AF3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品牌</w:t>
            </w:r>
          </w:p>
        </w:tc>
        <w:tc>
          <w:tcPr>
            <w:tcW w:w="2377" w:type="pct"/>
            <w:vAlign w:val="center"/>
          </w:tcPr>
          <w:p w14:paraId="711B3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型号规格</w:t>
            </w:r>
          </w:p>
        </w:tc>
        <w:tc>
          <w:tcPr>
            <w:tcW w:w="348" w:type="pct"/>
            <w:vAlign w:val="center"/>
          </w:tcPr>
          <w:p w14:paraId="678D7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数量</w:t>
            </w:r>
          </w:p>
        </w:tc>
        <w:tc>
          <w:tcPr>
            <w:tcW w:w="385" w:type="pct"/>
            <w:vAlign w:val="center"/>
          </w:tcPr>
          <w:p w14:paraId="6C2E8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单位</w:t>
            </w:r>
          </w:p>
        </w:tc>
        <w:tc>
          <w:tcPr>
            <w:tcW w:w="592" w:type="pct"/>
            <w:vAlign w:val="center"/>
          </w:tcPr>
          <w:p w14:paraId="6A6C0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596E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7" w:type="pct"/>
            <w:vAlign w:val="center"/>
          </w:tcPr>
          <w:p w14:paraId="7C90F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Times New Roman" w:hAnsi="Times New Roman" w:eastAsia="仿宋" w:cs="Times New Roman"/>
                <w:kern w:val="0"/>
                <w:sz w:val="28"/>
                <w:szCs w:val="21"/>
                <w:lang w:val="en-US" w:eastAsia="zh-CN"/>
              </w:rPr>
              <w:t>数字变频有线红外光栅</w:t>
            </w:r>
          </w:p>
        </w:tc>
        <w:tc>
          <w:tcPr>
            <w:tcW w:w="387" w:type="pct"/>
            <w:vMerge w:val="restart"/>
            <w:vAlign w:val="center"/>
          </w:tcPr>
          <w:p w14:paraId="24364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0"/>
                <w:sz w:val="28"/>
                <w:szCs w:val="21"/>
                <w:lang w:val="en-US" w:eastAsia="zh-CN"/>
              </w:rPr>
            </w:pPr>
            <w:r>
              <w:rPr>
                <w:rFonts w:hint="eastAsia" w:cs="Times New Roman"/>
                <w:kern w:val="0"/>
                <w:sz w:val="28"/>
                <w:szCs w:val="21"/>
                <w:lang w:val="en-US" w:eastAsia="zh-CN"/>
              </w:rPr>
              <w:t>红门</w:t>
            </w:r>
          </w:p>
        </w:tc>
        <w:tc>
          <w:tcPr>
            <w:tcW w:w="2377" w:type="pct"/>
            <w:vAlign w:val="center"/>
          </w:tcPr>
          <w:p w14:paraId="15EDB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Times New Roman" w:hAnsi="Times New Roman" w:eastAsia="仿宋" w:cs="Times New Roman"/>
                <w:kern w:val="0"/>
                <w:sz w:val="28"/>
                <w:szCs w:val="21"/>
                <w:lang w:val="en-US" w:eastAsia="zh-CN"/>
              </w:rPr>
              <w:t xml:space="preserve"> 100米探测距离，抗干扰能力强：可在风、霜、雨、雪、雾、潮、太阳光斜照的室外恶劣环境下使用；防水，防误报设计、防宠物设计、内置蜂鸣器，进口CPU</w:t>
            </w:r>
            <w:r>
              <w:rPr>
                <w:rFonts w:hint="eastAsia" w:cs="Times New Roman"/>
                <w:kern w:val="0"/>
                <w:sz w:val="28"/>
                <w:szCs w:val="21"/>
                <w:lang w:val="en-US" w:eastAsia="zh-CN"/>
              </w:rPr>
              <w:t>，</w:t>
            </w:r>
            <w:r>
              <w:rPr>
                <w:rFonts w:hint="eastAsia" w:ascii="Times New Roman" w:hAnsi="Times New Roman" w:eastAsia="仿宋" w:cs="Times New Roman"/>
                <w:kern w:val="0"/>
                <w:sz w:val="28"/>
                <w:szCs w:val="21"/>
                <w:lang w:val="en-US" w:eastAsia="zh-CN"/>
              </w:rPr>
              <w:t>断电报警</w:t>
            </w:r>
            <w:r>
              <w:rPr>
                <w:rFonts w:hint="eastAsia" w:cs="Times New Roman"/>
                <w:kern w:val="0"/>
                <w:sz w:val="28"/>
                <w:szCs w:val="21"/>
                <w:lang w:val="en-US" w:eastAsia="zh-CN"/>
              </w:rPr>
              <w:t>，</w:t>
            </w:r>
            <w:r>
              <w:rPr>
                <w:rFonts w:hint="eastAsia" w:ascii="Times New Roman" w:hAnsi="Times New Roman" w:eastAsia="仿宋" w:cs="Times New Roman"/>
                <w:kern w:val="0"/>
                <w:sz w:val="28"/>
                <w:szCs w:val="21"/>
                <w:lang w:val="en-US" w:eastAsia="zh-CN"/>
              </w:rPr>
              <w:t>权威检测报告</w:t>
            </w:r>
          </w:p>
        </w:tc>
        <w:tc>
          <w:tcPr>
            <w:tcW w:w="348" w:type="pct"/>
            <w:vAlign w:val="center"/>
          </w:tcPr>
          <w:p w14:paraId="1D2A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5</w:t>
            </w:r>
          </w:p>
        </w:tc>
        <w:tc>
          <w:tcPr>
            <w:tcW w:w="385" w:type="pct"/>
            <w:vAlign w:val="center"/>
          </w:tcPr>
          <w:p w14:paraId="16A0E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对</w:t>
            </w:r>
          </w:p>
        </w:tc>
        <w:tc>
          <w:tcPr>
            <w:tcW w:w="592" w:type="pct"/>
            <w:vMerge w:val="restart"/>
            <w:vAlign w:val="center"/>
          </w:tcPr>
          <w:p w14:paraId="32A62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Times New Roman" w:hAnsi="Times New Roman" w:eastAsia="仿宋" w:cs="Times New Roman"/>
                <w:kern w:val="0"/>
                <w:sz w:val="28"/>
                <w:szCs w:val="21"/>
                <w:lang w:val="en-US" w:eastAsia="zh-CN"/>
              </w:rPr>
              <w:t>线路</w:t>
            </w:r>
            <w:bookmarkStart w:id="76" w:name="_GoBack"/>
            <w:bookmarkEnd w:id="76"/>
            <w:r>
              <w:rPr>
                <w:rFonts w:hint="eastAsia" w:ascii="Times New Roman" w:hAnsi="Times New Roman" w:eastAsia="仿宋" w:cs="Times New Roman"/>
                <w:kern w:val="0"/>
                <w:sz w:val="28"/>
                <w:szCs w:val="21"/>
                <w:lang w:val="en-US" w:eastAsia="zh-CN"/>
              </w:rPr>
              <w:t>施工整齐美观</w:t>
            </w:r>
          </w:p>
        </w:tc>
      </w:tr>
      <w:tr w14:paraId="6DE8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7" w:type="pct"/>
            <w:vAlign w:val="center"/>
          </w:tcPr>
          <w:p w14:paraId="41C2B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红外光栅</w:t>
            </w:r>
            <w:r>
              <w:rPr>
                <w:rFonts w:hint="eastAsia" w:ascii="Times New Roman" w:hAnsi="Times New Roman" w:eastAsia="仿宋" w:cs="Times New Roman"/>
                <w:kern w:val="0"/>
                <w:sz w:val="28"/>
                <w:szCs w:val="21"/>
                <w:lang w:val="en-US" w:eastAsia="zh-CN"/>
              </w:rPr>
              <w:t>不锈钢方管支架</w:t>
            </w:r>
          </w:p>
        </w:tc>
        <w:tc>
          <w:tcPr>
            <w:tcW w:w="387" w:type="pct"/>
            <w:vMerge w:val="continue"/>
            <w:tcBorders/>
            <w:vAlign w:val="center"/>
          </w:tcPr>
          <w:p w14:paraId="44571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2377" w:type="pct"/>
            <w:vAlign w:val="center"/>
          </w:tcPr>
          <w:p w14:paraId="512C1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立地安装，</w:t>
            </w:r>
            <w:r>
              <w:rPr>
                <w:rFonts w:hint="eastAsia" w:cs="Times New Roman"/>
                <w:kern w:val="0"/>
                <w:sz w:val="28"/>
                <w:szCs w:val="21"/>
                <w:lang w:val="en-US" w:eastAsia="zh-CN"/>
              </w:rPr>
              <w:t>能</w:t>
            </w:r>
            <w:r>
              <w:rPr>
                <w:rFonts w:hint="eastAsia" w:ascii="Times New Roman" w:hAnsi="Times New Roman" w:eastAsia="仿宋" w:cs="Times New Roman"/>
                <w:kern w:val="0"/>
                <w:sz w:val="28"/>
                <w:szCs w:val="21"/>
                <w:lang w:val="en-US" w:eastAsia="zh-CN"/>
              </w:rPr>
              <w:t>360度转运，不锈钢304材质，结实耐用</w:t>
            </w:r>
          </w:p>
        </w:tc>
        <w:tc>
          <w:tcPr>
            <w:tcW w:w="348" w:type="pct"/>
            <w:vAlign w:val="center"/>
          </w:tcPr>
          <w:p w14:paraId="0C50C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6</w:t>
            </w:r>
          </w:p>
        </w:tc>
        <w:tc>
          <w:tcPr>
            <w:tcW w:w="385" w:type="pct"/>
            <w:vAlign w:val="center"/>
          </w:tcPr>
          <w:p w14:paraId="7E986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根</w:t>
            </w:r>
          </w:p>
        </w:tc>
        <w:tc>
          <w:tcPr>
            <w:tcW w:w="592" w:type="pct"/>
            <w:vMerge w:val="continue"/>
            <w:tcBorders/>
            <w:vAlign w:val="center"/>
          </w:tcPr>
          <w:p w14:paraId="6B204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r>
      <w:tr w14:paraId="600F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07" w:type="pct"/>
            <w:vAlign w:val="center"/>
          </w:tcPr>
          <w:p w14:paraId="15DA4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报警主机</w:t>
            </w:r>
          </w:p>
        </w:tc>
        <w:tc>
          <w:tcPr>
            <w:tcW w:w="387" w:type="pct"/>
            <w:vMerge w:val="continue"/>
            <w:tcBorders/>
            <w:vAlign w:val="center"/>
          </w:tcPr>
          <w:p w14:paraId="42B4A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kern w:val="0"/>
                <w:sz w:val="28"/>
                <w:szCs w:val="21"/>
                <w:lang w:val="en-US" w:eastAsia="zh-CN"/>
              </w:rPr>
            </w:pPr>
          </w:p>
        </w:tc>
        <w:tc>
          <w:tcPr>
            <w:tcW w:w="2377" w:type="pct"/>
            <w:vAlign w:val="center"/>
          </w:tcPr>
          <w:p w14:paraId="7625A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Times New Roman" w:hAnsi="Times New Roman" w:eastAsia="仿宋" w:cs="Times New Roman"/>
                <w:kern w:val="0"/>
                <w:sz w:val="28"/>
                <w:szCs w:val="21"/>
                <w:lang w:val="en-US" w:eastAsia="zh-CN"/>
              </w:rPr>
              <w:t>8有线+24无线防区，APP推送报警、远程电话报警、远程监听、定时布撤防、5组报警电话，密码保护、当探测到有可疑人员时，发送信号到主机，主机带动喇叭现场报警，并通过APP推送或者拨打相关人电话。</w:t>
            </w:r>
          </w:p>
        </w:tc>
        <w:tc>
          <w:tcPr>
            <w:tcW w:w="348" w:type="pct"/>
            <w:vAlign w:val="center"/>
          </w:tcPr>
          <w:p w14:paraId="32C58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1</w:t>
            </w:r>
          </w:p>
        </w:tc>
        <w:tc>
          <w:tcPr>
            <w:tcW w:w="385" w:type="pct"/>
            <w:vAlign w:val="center"/>
          </w:tcPr>
          <w:p w14:paraId="723AC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台</w:t>
            </w:r>
          </w:p>
        </w:tc>
        <w:tc>
          <w:tcPr>
            <w:tcW w:w="592" w:type="pct"/>
            <w:vMerge w:val="continue"/>
            <w:tcBorders/>
            <w:vAlign w:val="center"/>
          </w:tcPr>
          <w:p w14:paraId="241E9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r>
      <w:tr w14:paraId="5BC8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07" w:type="pct"/>
            <w:vAlign w:val="center"/>
          </w:tcPr>
          <w:p w14:paraId="18C76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信号电源线</w:t>
            </w:r>
          </w:p>
        </w:tc>
        <w:tc>
          <w:tcPr>
            <w:tcW w:w="387" w:type="pct"/>
            <w:vMerge w:val="continue"/>
            <w:tcBorders/>
            <w:vAlign w:val="center"/>
          </w:tcPr>
          <w:p w14:paraId="252F9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2377" w:type="pct"/>
            <w:vAlign w:val="center"/>
          </w:tcPr>
          <w:p w14:paraId="2F93A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RVV4*0.75</w:t>
            </w:r>
          </w:p>
        </w:tc>
        <w:tc>
          <w:tcPr>
            <w:tcW w:w="348" w:type="pct"/>
            <w:vAlign w:val="center"/>
          </w:tcPr>
          <w:p w14:paraId="0261F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200</w:t>
            </w:r>
          </w:p>
        </w:tc>
        <w:tc>
          <w:tcPr>
            <w:tcW w:w="385" w:type="pct"/>
            <w:vAlign w:val="center"/>
          </w:tcPr>
          <w:p w14:paraId="6EA21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米</w:t>
            </w:r>
          </w:p>
        </w:tc>
        <w:tc>
          <w:tcPr>
            <w:tcW w:w="592" w:type="pct"/>
            <w:vMerge w:val="continue"/>
            <w:tcBorders/>
            <w:vAlign w:val="center"/>
          </w:tcPr>
          <w:p w14:paraId="1C787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r>
      <w:tr w14:paraId="47CF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7" w:type="pct"/>
            <w:vAlign w:val="center"/>
          </w:tcPr>
          <w:p w14:paraId="52551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电源模块</w:t>
            </w:r>
          </w:p>
        </w:tc>
        <w:tc>
          <w:tcPr>
            <w:tcW w:w="387" w:type="pct"/>
            <w:vMerge w:val="continue"/>
            <w:tcBorders/>
            <w:vAlign w:val="center"/>
          </w:tcPr>
          <w:p w14:paraId="79164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2377" w:type="pct"/>
            <w:vAlign w:val="center"/>
          </w:tcPr>
          <w:p w14:paraId="67270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12伏2安</w:t>
            </w:r>
          </w:p>
        </w:tc>
        <w:tc>
          <w:tcPr>
            <w:tcW w:w="348" w:type="pct"/>
            <w:vAlign w:val="center"/>
          </w:tcPr>
          <w:p w14:paraId="2B1F0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2</w:t>
            </w:r>
          </w:p>
        </w:tc>
        <w:tc>
          <w:tcPr>
            <w:tcW w:w="385" w:type="pct"/>
            <w:vAlign w:val="center"/>
          </w:tcPr>
          <w:p w14:paraId="3AFF0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个</w:t>
            </w:r>
          </w:p>
        </w:tc>
        <w:tc>
          <w:tcPr>
            <w:tcW w:w="592" w:type="pct"/>
            <w:vMerge w:val="continue"/>
            <w:tcBorders/>
            <w:vAlign w:val="center"/>
          </w:tcPr>
          <w:p w14:paraId="7C873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r>
      <w:tr w14:paraId="20350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07" w:type="pct"/>
            <w:vAlign w:val="center"/>
          </w:tcPr>
          <w:p w14:paraId="5EA1F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PVC线管</w:t>
            </w:r>
          </w:p>
        </w:tc>
        <w:tc>
          <w:tcPr>
            <w:tcW w:w="387" w:type="pct"/>
            <w:vMerge w:val="continue"/>
            <w:tcBorders/>
            <w:vAlign w:val="center"/>
          </w:tcPr>
          <w:p w14:paraId="0F64C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2377" w:type="pct"/>
            <w:vAlign w:val="center"/>
          </w:tcPr>
          <w:p w14:paraId="0C4B2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国标</w:t>
            </w:r>
          </w:p>
        </w:tc>
        <w:tc>
          <w:tcPr>
            <w:tcW w:w="348" w:type="pct"/>
            <w:vAlign w:val="center"/>
          </w:tcPr>
          <w:p w14:paraId="685FA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rPr>
            </w:pPr>
            <w:r>
              <w:rPr>
                <w:rFonts w:hint="eastAsia" w:ascii="仿宋" w:hAnsi="仿宋" w:cs="仿宋"/>
                <w:sz w:val="28"/>
                <w:szCs w:val="28"/>
                <w:lang w:val="en-US" w:eastAsia="zh-CN"/>
              </w:rPr>
              <w:t>200</w:t>
            </w:r>
          </w:p>
        </w:tc>
        <w:tc>
          <w:tcPr>
            <w:tcW w:w="385" w:type="pct"/>
            <w:vAlign w:val="center"/>
          </w:tcPr>
          <w:p w14:paraId="68392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米</w:t>
            </w:r>
          </w:p>
        </w:tc>
        <w:tc>
          <w:tcPr>
            <w:tcW w:w="592" w:type="pct"/>
            <w:vMerge w:val="continue"/>
            <w:tcBorders/>
            <w:vAlign w:val="center"/>
          </w:tcPr>
          <w:p w14:paraId="4B960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r>
    </w:tbl>
    <w:p w14:paraId="7A2E9480">
      <w:pPr>
        <w:pStyle w:val="19"/>
        <w:widowControl/>
        <w:numPr>
          <w:ilvl w:val="0"/>
          <w:numId w:val="0"/>
        </w:numPr>
        <w:wordWrap w:val="0"/>
        <w:spacing w:before="0" w:beforeAutospacing="0" w:after="0" w:afterAutospacing="0" w:line="400" w:lineRule="exact"/>
        <w:jc w:val="both"/>
        <w:outlineLvl w:val="0"/>
        <w:rPr>
          <w:rFonts w:hint="eastAsia" w:ascii="Times New Roman" w:hAnsi="Times New Roman" w:eastAsia="仿宋" w:cs="Times New Roman"/>
          <w:kern w:val="0"/>
          <w:sz w:val="28"/>
          <w:szCs w:val="21"/>
          <w:lang w:val="en-US" w:eastAsia="zh-CN"/>
        </w:rPr>
      </w:pPr>
    </w:p>
    <w:p w14:paraId="2D3AB0C2">
      <w:pPr>
        <w:numPr>
          <w:ilvl w:val="0"/>
          <w:numId w:val="4"/>
        </w:numPr>
        <w:rPr>
          <w:rFonts w:hint="eastAsia" w:ascii="Calibri" w:hAnsi="Calibri"/>
          <w:b/>
          <w:bCs/>
          <w:sz w:val="28"/>
          <w:szCs w:val="28"/>
          <w:lang w:val="zh-CN"/>
        </w:rPr>
      </w:pPr>
      <w:r>
        <w:rPr>
          <w:rFonts w:ascii="Calibri" w:hAnsi="Calibri"/>
          <w:b/>
          <w:bCs/>
          <w:sz w:val="28"/>
          <w:szCs w:val="28"/>
          <w:lang w:val="zh-CN"/>
        </w:rPr>
        <w:t>服务</w:t>
      </w:r>
      <w:r>
        <w:rPr>
          <w:rFonts w:hint="eastAsia" w:ascii="Calibri" w:hAnsi="Calibri"/>
          <w:b/>
          <w:bCs/>
          <w:sz w:val="28"/>
          <w:szCs w:val="28"/>
          <w:lang w:val="zh-CN"/>
        </w:rPr>
        <w:t>要求</w:t>
      </w:r>
    </w:p>
    <w:p w14:paraId="2EFD1759">
      <w:pPr>
        <w:widowControl w:val="0"/>
        <w:numPr>
          <w:ilvl w:val="0"/>
          <w:numId w:val="0"/>
        </w:numPr>
        <w:spacing w:line="360" w:lineRule="auto"/>
        <w:jc w:val="both"/>
        <w:rPr>
          <w:rFonts w:hint="eastAsia" w:ascii="Calibri" w:hAnsi="Calibri"/>
          <w:b/>
          <w:bCs/>
          <w:sz w:val="28"/>
          <w:szCs w:val="28"/>
          <w:lang w:val="zh-CN"/>
        </w:rPr>
      </w:pPr>
      <w:r>
        <w:rPr>
          <w:rFonts w:hint="eastAsia" w:ascii="Calibri" w:hAnsi="Calibri"/>
          <w:b/>
          <w:bCs/>
          <w:sz w:val="28"/>
          <w:szCs w:val="28"/>
          <w:lang w:val="zh-CN"/>
        </w:rPr>
        <w:t>1、质量质保</w:t>
      </w:r>
    </w:p>
    <w:p w14:paraId="72264978">
      <w:pPr>
        <w:widowControl w:val="0"/>
        <w:numPr>
          <w:ilvl w:val="0"/>
          <w:numId w:val="0"/>
        </w:numPr>
        <w:spacing w:line="360" w:lineRule="auto"/>
        <w:jc w:val="both"/>
        <w:rPr>
          <w:rFonts w:hint="eastAsia" w:ascii="Calibri" w:hAnsi="Calibri"/>
          <w:b w:val="0"/>
          <w:bCs w:val="0"/>
          <w:sz w:val="28"/>
          <w:szCs w:val="28"/>
          <w:lang w:val="zh-CN"/>
        </w:rPr>
      </w:pPr>
      <w:r>
        <w:rPr>
          <w:rFonts w:hint="eastAsia" w:ascii="Calibri" w:hAnsi="Calibri"/>
          <w:b w:val="0"/>
          <w:bCs w:val="0"/>
          <w:sz w:val="28"/>
          <w:szCs w:val="28"/>
          <w:lang w:val="zh-CN"/>
        </w:rPr>
        <w:t>1.1 质量标准：所投产品应满足国家有关部门制定的技术、安全标准，无国家的技术、服务、安全标准的情况下，应满足行业标准要求。</w:t>
      </w:r>
    </w:p>
    <w:p w14:paraId="4E0C60A4">
      <w:pPr>
        <w:widowControl w:val="0"/>
        <w:numPr>
          <w:ilvl w:val="0"/>
          <w:numId w:val="0"/>
        </w:numPr>
        <w:spacing w:line="360" w:lineRule="auto"/>
        <w:jc w:val="both"/>
        <w:rPr>
          <w:rFonts w:hint="eastAsia" w:ascii="Calibri" w:hAnsi="Calibri"/>
          <w:b w:val="0"/>
          <w:bCs w:val="0"/>
          <w:sz w:val="28"/>
          <w:szCs w:val="28"/>
          <w:lang w:val="zh-CN"/>
        </w:rPr>
      </w:pPr>
      <w:r>
        <w:rPr>
          <w:rFonts w:hint="eastAsia" w:ascii="Calibri" w:hAnsi="Calibri"/>
          <w:b w:val="0"/>
          <w:bCs w:val="0"/>
          <w:sz w:val="28"/>
          <w:szCs w:val="28"/>
          <w:lang w:val="zh-CN"/>
        </w:rPr>
        <w:t>1.2 质量要求：应保证货物是全新、未使用过的合格产品，质量达到国家有关标准，并完全符合合同规定的质量、规格和性能的要求；保证所提供的货物经正确安装、正常运转和保养后，在其使用寿命期内应具有满意的性能；并在质量保证期内应对其提供的货物由于设计、工艺或者材料的缺陷而发生的任何不足或者故障负责</w:t>
      </w:r>
    </w:p>
    <w:p w14:paraId="26DE468B">
      <w:pPr>
        <w:widowControl w:val="0"/>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cs="仿宋"/>
          <w:sz w:val="28"/>
          <w:szCs w:val="28"/>
          <w:lang w:val="en-US" w:eastAsia="zh-CN"/>
        </w:rPr>
        <w:t>1.3质保要求：</w:t>
      </w:r>
      <w:r>
        <w:rPr>
          <w:rFonts w:hint="eastAsia" w:ascii="仿宋" w:hAnsi="仿宋" w:eastAsia="仿宋" w:cs="仿宋"/>
          <w:sz w:val="28"/>
          <w:szCs w:val="28"/>
          <w:highlight w:val="yellow"/>
          <w:lang w:val="en-US" w:eastAsia="zh-CN"/>
        </w:rPr>
        <w:t>产品整体质保</w:t>
      </w:r>
      <w:r>
        <w:rPr>
          <w:rFonts w:hint="eastAsia" w:ascii="仿宋" w:hAnsi="仿宋" w:cs="仿宋"/>
          <w:sz w:val="28"/>
          <w:szCs w:val="28"/>
          <w:highlight w:val="yellow"/>
          <w:lang w:val="en-US" w:eastAsia="zh-CN"/>
        </w:rPr>
        <w:t>一</w:t>
      </w:r>
      <w:r>
        <w:rPr>
          <w:rFonts w:hint="eastAsia" w:ascii="仿宋" w:hAnsi="仿宋" w:eastAsia="仿宋" w:cs="仿宋"/>
          <w:sz w:val="28"/>
          <w:szCs w:val="28"/>
          <w:highlight w:val="yellow"/>
          <w:lang w:val="en-US" w:eastAsia="zh-CN"/>
        </w:rPr>
        <w:t>年</w:t>
      </w:r>
      <w:r>
        <w:rPr>
          <w:rFonts w:hint="eastAsia" w:ascii="仿宋" w:hAnsi="仿宋" w:cs="仿宋"/>
          <w:sz w:val="28"/>
          <w:szCs w:val="28"/>
          <w:lang w:val="en-US" w:eastAsia="zh-CN"/>
        </w:rPr>
        <w:t>。</w:t>
      </w:r>
    </w:p>
    <w:p w14:paraId="446B7468">
      <w:pPr>
        <w:widowControl w:val="0"/>
        <w:numPr>
          <w:ilvl w:val="0"/>
          <w:numId w:val="0"/>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2、验收方式</w:t>
      </w:r>
    </w:p>
    <w:p w14:paraId="4EDA312F">
      <w:pPr>
        <w:widowControl w:val="0"/>
        <w:numPr>
          <w:ilvl w:val="0"/>
          <w:numId w:val="0"/>
        </w:numPr>
        <w:spacing w:line="360" w:lineRule="auto"/>
        <w:ind w:firstLine="560" w:firstLineChars="200"/>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所有货物免费送货上门，验收合格并安装调试培训完成，达到质量标准，通过项目验收，并向采购人移交所有相关资料文档。</w:t>
      </w:r>
    </w:p>
    <w:p w14:paraId="024A79DD">
      <w:pPr>
        <w:widowControl w:val="0"/>
        <w:numPr>
          <w:ilvl w:val="0"/>
          <w:numId w:val="5"/>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施工要求</w:t>
      </w:r>
    </w:p>
    <w:p w14:paraId="5E6C62B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3.1 成交供应商应采取一切措施确保现场施工人员的健康和人身安全以及安全高效地实施项目。</w:t>
      </w:r>
    </w:p>
    <w:p w14:paraId="672ADCAC">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3.2 成交供应商及其所雇佣的施工人员应严格遵守适用于本项目的法律、法规。</w:t>
      </w:r>
    </w:p>
    <w:p w14:paraId="724ABE3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3.3 采购人可以要求成交供应商解雇那些不遵守现场安全法规的工作人员。如果采购人事先没有同意的话，这些施工人员不能再次被雇佣到现场工作。</w:t>
      </w:r>
    </w:p>
    <w:p w14:paraId="14C82233">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3.4 成交供应商除采取其它措施满足合同条款的要求外，对于采购人提出的安全、防止污染、卫生、健康等方面的决定或建议应立即执行，不得有任何延误。</w:t>
      </w:r>
    </w:p>
    <w:p w14:paraId="5E464159">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3.5 在施工安装期间，成交供应商应按合同要求尽早提供和使用进入现场的平台、通道等设备，如果无法及时提供或完善投入此些设备，成交供应商应提供临时设施。</w:t>
      </w:r>
    </w:p>
    <w:p w14:paraId="00046BE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3.6 成交供应商应将详细的安全法规和紧急处理程序提交给采购人，承诺保证安全和文明施工。</w:t>
      </w:r>
    </w:p>
    <w:p w14:paraId="4F4A138B">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3.7 本项目在施工过程中所造成的安全事故全部由成交供应商自行负责，采购人不承担因此引起的任何责任。</w:t>
      </w:r>
    </w:p>
    <w:p w14:paraId="132FEF85">
      <w:pPr>
        <w:widowControl w:val="0"/>
        <w:numPr>
          <w:ilvl w:val="0"/>
          <w:numId w:val="0"/>
        </w:numPr>
        <w:spacing w:line="360" w:lineRule="auto"/>
        <w:jc w:val="both"/>
        <w:rPr>
          <w:rFonts w:hint="eastAsia" w:ascii="仿宋" w:hAnsi="仿宋" w:eastAsia="仿宋" w:cs="仿宋"/>
          <w:b w:val="0"/>
          <w:bCs w:val="0"/>
          <w:sz w:val="28"/>
          <w:szCs w:val="28"/>
          <w:lang w:val="zh-CN" w:eastAsia="zh-CN"/>
        </w:rPr>
      </w:pPr>
      <w:r>
        <w:rPr>
          <w:rFonts w:hint="eastAsia" w:ascii="仿宋" w:hAnsi="仿宋" w:cs="仿宋"/>
          <w:b w:val="0"/>
          <w:bCs w:val="0"/>
          <w:sz w:val="28"/>
          <w:szCs w:val="28"/>
          <w:lang w:val="en-US" w:eastAsia="zh-CN"/>
        </w:rPr>
        <w:t xml:space="preserve">3.8 </w:t>
      </w:r>
      <w:r>
        <w:rPr>
          <w:rFonts w:hint="eastAsia" w:ascii="仿宋" w:hAnsi="仿宋" w:eastAsia="仿宋" w:cs="仿宋"/>
          <w:sz w:val="28"/>
          <w:szCs w:val="28"/>
          <w:lang w:val="zh-CN" w:eastAsia="zh-CN"/>
        </w:rPr>
        <w:t>成交</w:t>
      </w:r>
      <w:r>
        <w:rPr>
          <w:rFonts w:hint="eastAsia" w:ascii="仿宋" w:hAnsi="仿宋" w:eastAsia="仿宋" w:cs="仿宋"/>
          <w:b w:val="0"/>
          <w:bCs w:val="0"/>
          <w:sz w:val="28"/>
          <w:szCs w:val="28"/>
          <w:lang w:val="zh-CN" w:eastAsia="zh-CN"/>
        </w:rPr>
        <w:t>供应商需按学校指定时间施工，非施工时间不允许施工。</w:t>
      </w:r>
    </w:p>
    <w:p w14:paraId="56A61A44">
      <w:pPr>
        <w:widowControl w:val="0"/>
        <w:numPr>
          <w:ilvl w:val="0"/>
          <w:numId w:val="0"/>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4、售后要求</w:t>
      </w:r>
    </w:p>
    <w:p w14:paraId="20DBE6D0">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4.1 成交供应商应有可靠的售后服务保障，能够提供正常的技术、备品备件服务；应提供对所投货物的日常维护，并有相关零配件和耗材的常年优惠供应。</w:t>
      </w:r>
    </w:p>
    <w:p w14:paraId="36B3A907">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4.2 成交供应商应提供及时周到的售后服务，应保证每月至少一次上门回访、检修。</w:t>
      </w:r>
    </w:p>
    <w:p w14:paraId="0081EE35">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4.3 成交供应商在接到采购人售后服务通知</w:t>
      </w:r>
      <w:r>
        <w:rPr>
          <w:rFonts w:hint="eastAsia" w:ascii="仿宋" w:hAnsi="仿宋" w:cs="仿宋"/>
          <w:sz w:val="28"/>
          <w:szCs w:val="28"/>
          <w:lang w:val="en-US" w:eastAsia="zh-CN"/>
        </w:rPr>
        <w:t>后1</w:t>
      </w:r>
      <w:r>
        <w:rPr>
          <w:rFonts w:hint="eastAsia" w:ascii="仿宋" w:hAnsi="仿宋" w:eastAsia="仿宋" w:cs="仿宋"/>
          <w:sz w:val="28"/>
          <w:szCs w:val="28"/>
          <w:lang w:val="zh-CN" w:eastAsia="zh-CN"/>
        </w:rPr>
        <w:t>小时内到达现场</w:t>
      </w:r>
      <w:r>
        <w:rPr>
          <w:rFonts w:hint="eastAsia" w:ascii="仿宋" w:hAnsi="仿宋" w:eastAsia="仿宋" w:cs="仿宋"/>
          <w:sz w:val="28"/>
          <w:szCs w:val="28"/>
          <w:lang w:val="en-US" w:eastAsia="zh-CN"/>
        </w:rPr>
        <w:t>解决问题</w:t>
      </w:r>
      <w:r>
        <w:rPr>
          <w:rFonts w:hint="eastAsia" w:ascii="仿宋" w:hAnsi="仿宋" w:cs="仿宋"/>
          <w:sz w:val="28"/>
          <w:szCs w:val="28"/>
          <w:lang w:val="en-US" w:eastAsia="zh-CN"/>
        </w:rPr>
        <w:t>，</w:t>
      </w:r>
      <w:r>
        <w:rPr>
          <w:rFonts w:hint="eastAsia" w:ascii="仿宋" w:hAnsi="仿宋" w:eastAsia="仿宋" w:cs="仿宋"/>
          <w:sz w:val="28"/>
          <w:szCs w:val="28"/>
          <w:lang w:val="zh-CN" w:eastAsia="zh-CN"/>
        </w:rPr>
        <w:t>12小时内维修完毕，不能在规定时间内修好的要免费提供备品（机）备件</w:t>
      </w:r>
      <w:r>
        <w:rPr>
          <w:rFonts w:hint="eastAsia" w:ascii="仿宋" w:hAnsi="仿宋" w:cs="仿宋"/>
          <w:sz w:val="28"/>
          <w:szCs w:val="28"/>
          <w:lang w:val="en-US" w:eastAsia="zh-CN"/>
        </w:rPr>
        <w:t>使用</w:t>
      </w:r>
      <w:r>
        <w:rPr>
          <w:rFonts w:hint="eastAsia" w:ascii="仿宋" w:hAnsi="仿宋" w:eastAsia="仿宋" w:cs="仿宋"/>
          <w:sz w:val="28"/>
          <w:szCs w:val="28"/>
          <w:lang w:val="zh-CN" w:eastAsia="zh-CN"/>
        </w:rPr>
        <w:t>。</w:t>
      </w:r>
    </w:p>
    <w:p w14:paraId="1A2385D7">
      <w:pPr>
        <w:widowControl w:val="0"/>
        <w:numPr>
          <w:ilvl w:val="0"/>
          <w:numId w:val="0"/>
        </w:numPr>
        <w:spacing w:line="360" w:lineRule="auto"/>
        <w:jc w:val="both"/>
        <w:rPr>
          <w:rFonts w:hint="eastAsia" w:ascii="仿宋" w:hAnsi="仿宋" w:cs="仿宋"/>
          <w:b/>
          <w:bCs/>
          <w:sz w:val="28"/>
          <w:szCs w:val="28"/>
          <w:lang w:val="en-US" w:eastAsia="zh-CN"/>
        </w:rPr>
      </w:pPr>
    </w:p>
    <w:p w14:paraId="00419089">
      <w:pPr>
        <w:widowControl w:val="0"/>
        <w:numPr>
          <w:ilvl w:val="0"/>
          <w:numId w:val="0"/>
        </w:numPr>
        <w:spacing w:line="360" w:lineRule="auto"/>
        <w:jc w:val="both"/>
        <w:rPr>
          <w:rFonts w:hint="eastAsia" w:ascii="仿宋" w:hAnsi="仿宋" w:eastAsia="仿宋" w:cs="仿宋"/>
          <w:b/>
          <w:bCs/>
          <w:sz w:val="28"/>
          <w:szCs w:val="28"/>
          <w:lang w:val="zh-CN" w:eastAsia="zh-CN"/>
        </w:rPr>
      </w:pPr>
      <w:r>
        <w:rPr>
          <w:rFonts w:hint="eastAsia" w:ascii="仿宋" w:hAnsi="仿宋" w:cs="仿宋"/>
          <w:b/>
          <w:bCs/>
          <w:sz w:val="28"/>
          <w:szCs w:val="28"/>
          <w:lang w:val="en-US" w:eastAsia="zh-CN"/>
        </w:rPr>
        <w:t>三</w:t>
      </w:r>
      <w:r>
        <w:rPr>
          <w:rFonts w:hint="eastAsia" w:ascii="仿宋" w:hAnsi="仿宋" w:eastAsia="仿宋" w:cs="仿宋"/>
          <w:b/>
          <w:bCs/>
          <w:sz w:val="28"/>
          <w:szCs w:val="28"/>
          <w:lang w:val="zh-CN" w:eastAsia="zh-CN"/>
        </w:rPr>
        <w:t>、商务要求</w:t>
      </w:r>
    </w:p>
    <w:p w14:paraId="706D151B">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1、履约期限：签订合同后</w:t>
      </w:r>
      <w:r>
        <w:rPr>
          <w:rFonts w:hint="eastAsia" w:ascii="仿宋" w:hAnsi="仿宋" w:cs="仿宋"/>
          <w:sz w:val="28"/>
          <w:szCs w:val="28"/>
          <w:lang w:val="en-US" w:eastAsia="zh-CN"/>
        </w:rPr>
        <w:t>30</w:t>
      </w:r>
      <w:r>
        <w:rPr>
          <w:rFonts w:hint="eastAsia" w:ascii="仿宋" w:hAnsi="仿宋" w:eastAsia="仿宋" w:cs="仿宋"/>
          <w:sz w:val="28"/>
          <w:szCs w:val="28"/>
          <w:lang w:val="zh-CN" w:eastAsia="zh-CN"/>
        </w:rPr>
        <w:t>天内安装调试完毕、现场卫生清理完成，并验收合格交付使用。</w:t>
      </w:r>
    </w:p>
    <w:p w14:paraId="508CC3D9">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2、合同签订：成交供应商在领取成交通知书后及时与采购人签订采购合同，最迟不得超过三十日历天。</w:t>
      </w:r>
    </w:p>
    <w:p w14:paraId="46399E80">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3、交货地点：学校校园内（采购人指定位置）。</w:t>
      </w:r>
    </w:p>
    <w:p w14:paraId="528D6F45">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项目费用：本项目报价为包干价，供应商投标报价中必须包括货物的出厂价加上货物到达最终目的地的产品制造费、包装费、运输费、保险费、装卸费、检验费、税费等以及风险包干费等，以及供应商认为必要的其它货物、材料、服务等费用。在合同实施期间，费用不随国家政策或法规、标准及市场因素的变化而进行调整。采购人不再支付成交价格以外的任何费用。</w:t>
      </w:r>
    </w:p>
    <w:p w14:paraId="03E4BEC9">
      <w:pPr>
        <w:widowControl w:val="0"/>
        <w:numPr>
          <w:ilvl w:val="0"/>
          <w:numId w:val="0"/>
        </w:numPr>
        <w:spacing w:line="360" w:lineRule="auto"/>
        <w:jc w:val="both"/>
        <w:rPr>
          <w:rFonts w:hint="eastAsia" w:ascii="仿宋" w:hAnsi="仿宋" w:eastAsia="仿宋" w:cs="仿宋"/>
          <w:sz w:val="28"/>
          <w:szCs w:val="28"/>
          <w:lang w:val="zh-CN" w:eastAsia="zh-CN"/>
        </w:rPr>
      </w:pPr>
    </w:p>
    <w:p w14:paraId="06854FFB"/>
    <w:p w14:paraId="1A879F72">
      <w:pPr>
        <w:pStyle w:val="13"/>
        <w:rPr>
          <w:rFonts w:hint="eastAsia" w:ascii="Calibri" w:hAnsi="Calibri"/>
          <w:b/>
          <w:bCs/>
          <w:lang w:val="zh-CN"/>
        </w:rPr>
      </w:pPr>
    </w:p>
    <w:p w14:paraId="2C9FCC98">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16181"/>
      <w:bookmarkStart w:id="29" w:name="_Toc28102"/>
      <w:bookmarkStart w:id="30" w:name="_Toc28555"/>
      <w:bookmarkStart w:id="31" w:name="_Toc503378385"/>
      <w:bookmarkStart w:id="32" w:name="_Toc20481"/>
      <w:bookmarkStart w:id="33" w:name="_Toc530406968"/>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HJJS2025090501</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w:t>
      </w:r>
      <w:r>
        <w:rPr>
          <w:rFonts w:hint="eastAsia" w:ascii="仿宋" w:hAnsi="仿宋"/>
          <w:b/>
          <w:bCs/>
          <w:sz w:val="36"/>
          <w:lang w:eastAsia="zh-CN"/>
        </w:rPr>
        <w:t>湖北汉江技师学院</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宿舍报警防范系统采购项目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449975565"/>
      <w:bookmarkStart w:id="35" w:name="_Toc27173"/>
      <w:bookmarkStart w:id="36" w:name="_Toc7105872"/>
      <w:bookmarkStart w:id="37" w:name="_Toc530406970"/>
      <w:bookmarkStart w:id="38" w:name="_Toc20315724"/>
      <w:bookmarkStart w:id="39" w:name="_Toc504233710"/>
      <w:bookmarkStart w:id="40" w:name="_Toc22722"/>
      <w:bookmarkStart w:id="41" w:name="_Toc504232566"/>
      <w:bookmarkStart w:id="42" w:name="_Toc6585435"/>
      <w:bookmarkStart w:id="43" w:name="_Toc7105864"/>
      <w:bookmarkStart w:id="44" w:name="_Toc530406969"/>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lang w:eastAsia="zh-CN"/>
        </w:rPr>
        <w:t>湖北汉江技师学院</w:t>
      </w:r>
      <w:r>
        <w:rPr>
          <w:rFonts w:hint="eastAsia" w:ascii="仿宋" w:hAnsi="仿宋" w:cs="仿宋"/>
          <w:bCs/>
        </w:rPr>
        <w:t>：</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宿舍报警防范系统采购项目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cs="仿宋"/>
          <w:bCs/>
          <w:sz w:val="24"/>
          <w:szCs w:val="24"/>
          <w:lang w:eastAsia="zh-CN"/>
        </w:rPr>
        <w:t>湖北汉江技师学院</w:t>
      </w:r>
      <w:r>
        <w:rPr>
          <w:rFonts w:hint="eastAsia" w:ascii="仿宋" w:hAnsi="仿宋" w:eastAsia="仿宋" w:cs="仿宋"/>
          <w:bCs/>
          <w:sz w:val="24"/>
          <w:szCs w:val="24"/>
        </w:rPr>
        <w:t>：</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宿舍报警防范系统采购项目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宿舍报警防范系统采购项目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4、谈判供应商须携带单位公章或2份加盖单位公章的空白“谈判最终报价单”于谈判现场进行最后报价。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13"/>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宿舍报警防范系统采购项目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21110"/>
      <w:bookmarkStart w:id="46" w:name="_Toc494745327"/>
      <w:bookmarkStart w:id="47" w:name="_Toc495861559"/>
      <w:bookmarkStart w:id="48" w:name="_Toc494665010"/>
      <w:bookmarkStart w:id="49" w:name="_Toc494665960"/>
      <w:bookmarkStart w:id="50" w:name="_Toc494665563"/>
      <w:bookmarkStart w:id="51" w:name="_Toc494702280"/>
      <w:bookmarkStart w:id="52" w:name="_Toc238276247"/>
      <w:bookmarkStart w:id="53" w:name="_Toc236473303"/>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湖北汉江技师学院</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573"/>
      <w:bookmarkStart w:id="57" w:name="_Toc68095203"/>
      <w:bookmarkStart w:id="58" w:name="_Toc494702290"/>
      <w:bookmarkStart w:id="59" w:name="_Toc494665970"/>
      <w:bookmarkStart w:id="60" w:name="_Toc61280412"/>
      <w:bookmarkStart w:id="61" w:name="_Toc24100107"/>
      <w:bookmarkStart w:id="62" w:name="_Toc494665020"/>
      <w:bookmarkStart w:id="63" w:name="_Toc494745337"/>
      <w:bookmarkStart w:id="64" w:name="_Toc494721120"/>
    </w:p>
    <w:bookmarkEnd w:id="56"/>
    <w:bookmarkEnd w:id="57"/>
    <w:bookmarkEnd w:id="58"/>
    <w:bookmarkEnd w:id="59"/>
    <w:bookmarkEnd w:id="60"/>
    <w:bookmarkEnd w:id="61"/>
    <w:bookmarkEnd w:id="62"/>
    <w:bookmarkEnd w:id="63"/>
    <w:bookmarkEnd w:id="64"/>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702282"/>
      <w:bookmarkStart w:id="66" w:name="_Toc24100116"/>
      <w:bookmarkStart w:id="67" w:name="_Toc494721112"/>
      <w:bookmarkStart w:id="68" w:name="_Toc494745329"/>
      <w:bookmarkStart w:id="69" w:name="_Toc494665565"/>
      <w:bookmarkStart w:id="70" w:name="_Toc68095212"/>
      <w:bookmarkStart w:id="71" w:name="_Toc495861561"/>
      <w:bookmarkStart w:id="72" w:name="_Toc494665962"/>
      <w:bookmarkStart w:id="73" w:name="_Toc494665012"/>
      <w:bookmarkStart w:id="74" w:name="_Toc31100"/>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lang w:eastAsia="zh-CN"/>
        </w:rPr>
        <w:t>湖北汉江技师学院</w:t>
      </w:r>
      <w:r>
        <w:rPr>
          <w:rFonts w:hint="eastAsia" w:ascii="仿宋" w:hAnsi="仿宋" w:cs="仿宋"/>
          <w:b w:val="0"/>
          <w:bCs/>
        </w:rPr>
        <w:t>：</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7B82B26">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7556B7C0">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13"/>
        <w:rPr>
          <w:rFonts w:ascii="黑体" w:hAnsi="黑体" w:eastAsia="黑体" w:cs="黑体"/>
          <w:sz w:val="28"/>
          <w:szCs w:val="28"/>
        </w:rPr>
      </w:pPr>
    </w:p>
    <w:p w14:paraId="6B16D8FB">
      <w:pPr>
        <w:bidi w:val="0"/>
      </w:pPr>
    </w:p>
    <w:p w14:paraId="4EDC2D99">
      <w:pPr>
        <w:bidi w:val="0"/>
      </w:pPr>
    </w:p>
    <w:p w14:paraId="46BB3205">
      <w:pPr>
        <w:bidi w:val="0"/>
      </w:pPr>
    </w:p>
    <w:p w14:paraId="249BDD00">
      <w:pPr>
        <w:bidi w:val="0"/>
      </w:pPr>
    </w:p>
    <w:p w14:paraId="4DE15158">
      <w:pPr>
        <w:bidi w:val="0"/>
      </w:pPr>
    </w:p>
    <w:p w14:paraId="0A8FBA45">
      <w:pPr>
        <w:bidi w:val="0"/>
      </w:pPr>
    </w:p>
    <w:p w14:paraId="406D554F">
      <w:pPr>
        <w:bidi w:val="0"/>
      </w:pPr>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211AA5E"/>
    <w:multiLevelType w:val="singleLevel"/>
    <w:tmpl w:val="3211AA5E"/>
    <w:lvl w:ilvl="0" w:tentative="0">
      <w:start w:val="2"/>
      <w:numFmt w:val="chineseCounting"/>
      <w:suff w:val="nothing"/>
      <w:lvlText w:val="%1、"/>
      <w:lvlJc w:val="left"/>
      <w:rPr>
        <w:rFonts w:hint="eastAsia"/>
      </w:rPr>
    </w:lvl>
  </w:abstractNum>
  <w:abstractNum w:abstractNumId="3">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557FA35D"/>
    <w:multiLevelType w:val="singleLevel"/>
    <w:tmpl w:val="557FA35D"/>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89664AC"/>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37B5998"/>
    <w:rsid w:val="33F21FCE"/>
    <w:rsid w:val="351F49EB"/>
    <w:rsid w:val="3715208C"/>
    <w:rsid w:val="374F2C8D"/>
    <w:rsid w:val="386510C0"/>
    <w:rsid w:val="39A7340C"/>
    <w:rsid w:val="3B5E41B5"/>
    <w:rsid w:val="3BBC0885"/>
    <w:rsid w:val="40C15031"/>
    <w:rsid w:val="40E3516C"/>
    <w:rsid w:val="41060AC2"/>
    <w:rsid w:val="424D5880"/>
    <w:rsid w:val="426B25D4"/>
    <w:rsid w:val="429F5DD9"/>
    <w:rsid w:val="4387500B"/>
    <w:rsid w:val="43D34F2D"/>
    <w:rsid w:val="45222697"/>
    <w:rsid w:val="47020E09"/>
    <w:rsid w:val="481607C6"/>
    <w:rsid w:val="4877279B"/>
    <w:rsid w:val="4B837D3D"/>
    <w:rsid w:val="4D7640D3"/>
    <w:rsid w:val="4E3046D1"/>
    <w:rsid w:val="4E4A2045"/>
    <w:rsid w:val="4F18120B"/>
    <w:rsid w:val="4FF212E5"/>
    <w:rsid w:val="51DB3484"/>
    <w:rsid w:val="545C2E03"/>
    <w:rsid w:val="546A5169"/>
    <w:rsid w:val="54D52F7A"/>
    <w:rsid w:val="54F87E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963408"/>
    <w:rsid w:val="73F152F7"/>
    <w:rsid w:val="74A40279"/>
    <w:rsid w:val="761340C8"/>
    <w:rsid w:val="770F1098"/>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7637</Words>
  <Characters>8039</Characters>
  <Lines>82</Lines>
  <Paragraphs>77</Paragraphs>
  <TotalTime>50</TotalTime>
  <ScaleCrop>false</ScaleCrop>
  <LinksUpToDate>false</LinksUpToDate>
  <CharactersWithSpaces>8373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2025-09-01T06:28:45Z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80F88C44BA9D4620A5A8CAA5D1116551_13</vt:lpwstr>
  </property>
  <property fmtid="{D5CDD505-2E9C-101B-9397-08002B2CF9AE}" pid="4" name="KSOTemplateDocerSaveRecord">
    <vt:lpwstr>eyJoZGlkIjoiMGM0YTc4YWNhMGQ5ZjZlZDJjNjg0ZTlhYzJhYmYwZTIiLCJ1c2VySWQiOiI0ODQyMDcyMTcifQ==</vt:lpwstr>
  </property>
</Properties>
</file>