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b/>
          <w:bCs/>
          <w:sz w:val="28"/>
          <w:szCs w:val="28"/>
        </w:rPr>
        <w:t>项目编号</w:t>
      </w:r>
      <w:r>
        <w:rPr>
          <w:rFonts w:hint="eastAsia"/>
          <w:b/>
          <w:bCs/>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十采计备【</w:t>
      </w:r>
      <w:r>
        <w:rPr>
          <w:color w:val="000000" w:themeColor="text1"/>
          <w:sz w:val="28"/>
          <w:szCs w:val="28"/>
          <w14:textFill>
            <w14:solidFill>
              <w14:schemeClr w14:val="tx1"/>
            </w14:solidFill>
          </w14:textFill>
        </w:rPr>
        <w:t>2019</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XM299</w:t>
      </w:r>
      <w:r>
        <w:rPr>
          <w:rFonts w:hint="eastAsia"/>
          <w:color w:val="000000" w:themeColor="text1"/>
          <w:sz w:val="28"/>
          <w:szCs w:val="28"/>
          <w14:textFill>
            <w14:solidFill>
              <w14:schemeClr w14:val="tx1"/>
            </w14:solidFill>
          </w14:textFill>
        </w:rPr>
        <w:t>号</w:t>
      </w:r>
    </w:p>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p>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p>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p>
    <w:p>
      <w:pPr>
        <w:pStyle w:val="9"/>
        <w:pageBreakBefore w:val="0"/>
        <w:widowControl w:val="0"/>
        <w:kinsoku/>
        <w:wordWrap/>
        <w:overflowPunct/>
        <w:topLinePunct w:val="0"/>
        <w:bidi w:val="0"/>
        <w:spacing w:line="360" w:lineRule="auto"/>
        <w:ind w:left="0" w:leftChars="0" w:right="0" w:rightChars="0"/>
        <w:jc w:val="center"/>
        <w:textAlignment w:val="auto"/>
        <w:rPr>
          <w:color w:val="000000" w:themeColor="text1"/>
          <w:sz w:val="36"/>
          <w:szCs w:val="36"/>
          <w14:textFill>
            <w14:solidFill>
              <w14:schemeClr w14:val="tx1"/>
            </w14:solidFill>
          </w14:textFill>
        </w:rPr>
      </w:pPr>
    </w:p>
    <w:p>
      <w:pPr>
        <w:pStyle w:val="9"/>
        <w:pageBreakBefore w:val="0"/>
        <w:widowControl w:val="0"/>
        <w:kinsoku/>
        <w:wordWrap/>
        <w:overflowPunct/>
        <w:topLinePunct w:val="0"/>
        <w:bidi w:val="0"/>
        <w:spacing w:line="360" w:lineRule="auto"/>
        <w:ind w:left="0" w:leftChars="0" w:right="0" w:rightChars="0"/>
        <w:jc w:val="center"/>
        <w:textAlignment w:val="auto"/>
        <w:rPr>
          <w:rFonts w:hint="eastAsia"/>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湖北十堰职业技术（集团）学校</w:t>
      </w:r>
    </w:p>
    <w:p>
      <w:pPr>
        <w:pStyle w:val="9"/>
        <w:pageBreakBefore w:val="0"/>
        <w:widowControl w:val="0"/>
        <w:kinsoku/>
        <w:wordWrap/>
        <w:overflowPunct/>
        <w:topLinePunct w:val="0"/>
        <w:bidi w:val="0"/>
        <w:spacing w:line="360" w:lineRule="auto"/>
        <w:ind w:left="0" w:leftChars="0" w:right="0" w:rightChars="0"/>
        <w:jc w:val="center"/>
        <w:textAlignment w:val="auto"/>
        <w:rPr>
          <w:b/>
          <w:bCs/>
          <w:sz w:val="84"/>
          <w:szCs w:val="84"/>
        </w:rPr>
      </w:pPr>
      <w:r>
        <w:rPr>
          <w:rFonts w:hint="eastAsia"/>
          <w:color w:val="000000" w:themeColor="text1"/>
          <w:sz w:val="36"/>
          <w:szCs w:val="36"/>
          <w14:textFill>
            <w14:solidFill>
              <w14:schemeClr w14:val="tx1"/>
            </w14:solidFill>
          </w14:textFill>
        </w:rPr>
        <w:t>资产管理系统购置项目</w:t>
      </w:r>
    </w:p>
    <w:p>
      <w:pPr>
        <w:pStyle w:val="9"/>
        <w:pageBreakBefore w:val="0"/>
        <w:widowControl w:val="0"/>
        <w:kinsoku/>
        <w:wordWrap/>
        <w:overflowPunct/>
        <w:topLinePunct w:val="0"/>
        <w:bidi w:val="0"/>
        <w:spacing w:line="360" w:lineRule="auto"/>
        <w:ind w:left="0" w:leftChars="0" w:right="0" w:rightChars="0"/>
        <w:jc w:val="center"/>
        <w:textAlignment w:val="auto"/>
        <w:rPr>
          <w:b/>
          <w:bCs/>
          <w:sz w:val="84"/>
          <w:szCs w:val="84"/>
        </w:rPr>
      </w:pPr>
    </w:p>
    <w:p>
      <w:pPr>
        <w:pStyle w:val="9"/>
        <w:pageBreakBefore w:val="0"/>
        <w:widowControl w:val="0"/>
        <w:kinsoku/>
        <w:wordWrap/>
        <w:overflowPunct/>
        <w:topLinePunct w:val="0"/>
        <w:bidi w:val="0"/>
        <w:spacing w:line="360" w:lineRule="auto"/>
        <w:ind w:left="0" w:leftChars="0" w:right="0" w:rightChars="0"/>
        <w:jc w:val="center"/>
        <w:textAlignment w:val="auto"/>
      </w:pPr>
      <w:r>
        <w:rPr>
          <w:rFonts w:hint="eastAsia"/>
          <w:b/>
          <w:bCs/>
          <w:sz w:val="84"/>
          <w:szCs w:val="84"/>
        </w:rPr>
        <w:t>竞争性磋商文件</w:t>
      </w: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cs="宋体"/>
          <w:b/>
          <w:spacing w:val="105"/>
          <w:sz w:val="36"/>
          <w:szCs w:val="32"/>
        </w:rPr>
      </w:pPr>
      <w:r>
        <w:rPr>
          <w:rFonts w:hint="eastAsia" w:ascii="宋体" w:hAnsi="宋体" w:cs="宋体"/>
          <w:b/>
          <w:sz w:val="36"/>
          <w:szCs w:val="32"/>
        </w:rPr>
        <w:t>采 购 人：</w:t>
      </w:r>
      <w:r>
        <w:rPr>
          <w:rFonts w:hint="eastAsia" w:ascii="宋体" w:hAnsi="宋体" w:cs="宋体"/>
          <w:b/>
          <w:sz w:val="36"/>
          <w:szCs w:val="32"/>
          <w:lang w:val="en-US" w:eastAsia="zh-CN"/>
        </w:rPr>
        <w:t>湖北十堰职业技术（集团）学校</w:t>
      </w: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cs="宋体"/>
          <w:b/>
          <w:sz w:val="36"/>
          <w:szCs w:val="32"/>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b/>
          <w:bCs/>
          <w:sz w:val="30"/>
          <w:szCs w:val="30"/>
        </w:rPr>
      </w:pPr>
      <w:r>
        <w:rPr>
          <w:rFonts w:hint="eastAsia" w:ascii="宋体" w:hAnsi="宋体" w:cs="宋体"/>
          <w:b/>
          <w:sz w:val="36"/>
          <w:szCs w:val="32"/>
        </w:rPr>
        <w:t>二○一</w:t>
      </w:r>
      <w:r>
        <w:rPr>
          <w:rFonts w:hint="eastAsia" w:ascii="宋体" w:hAnsi="宋体" w:cs="宋体"/>
          <w:b/>
          <w:sz w:val="36"/>
          <w:szCs w:val="32"/>
          <w:lang w:val="en-US" w:eastAsia="zh-CN"/>
        </w:rPr>
        <w:t>九</w:t>
      </w:r>
      <w:r>
        <w:rPr>
          <w:rFonts w:hint="eastAsia" w:ascii="宋体" w:hAnsi="宋体" w:cs="宋体"/>
          <w:b/>
          <w:sz w:val="36"/>
          <w:szCs w:val="32"/>
        </w:rPr>
        <w:t>年</w:t>
      </w:r>
      <w:r>
        <w:rPr>
          <w:rFonts w:hint="eastAsia" w:hAnsi="宋体" w:cs="宋体"/>
          <w:b/>
          <w:sz w:val="36"/>
          <w:szCs w:val="32"/>
          <w:lang w:val="en-US" w:eastAsia="zh-CN"/>
        </w:rPr>
        <w:t>十二</w:t>
      </w:r>
      <w:r>
        <w:rPr>
          <w:rFonts w:hint="eastAsia" w:ascii="宋体" w:hAnsi="宋体" w:cs="宋体"/>
          <w:b/>
          <w:sz w:val="36"/>
          <w:szCs w:val="32"/>
        </w:rPr>
        <w:t>月</w:t>
      </w:r>
      <w:r>
        <w:rPr>
          <w:rFonts w:hint="eastAsia" w:ascii="宋体" w:hAnsi="宋体" w:cs="宋体"/>
          <w:b/>
          <w:sz w:val="36"/>
          <w:szCs w:val="32"/>
          <w:lang w:val="en-US" w:eastAsia="zh-CN"/>
        </w:rPr>
        <w:t>四</w:t>
      </w:r>
      <w:r>
        <w:rPr>
          <w:rFonts w:hint="eastAsia" w:ascii="宋体" w:hAnsi="宋体" w:cs="宋体"/>
          <w:b/>
          <w:sz w:val="36"/>
          <w:szCs w:val="32"/>
        </w:rPr>
        <w:t>日</w:t>
      </w:r>
      <w:bookmarkStart w:id="0" w:name="_Toc2094_WPSOffice_Level1"/>
    </w:p>
    <w:p>
      <w:pPr>
        <w:pStyle w:val="9"/>
        <w:pageBreakBefore w:val="0"/>
        <w:widowControl w:val="0"/>
        <w:kinsoku/>
        <w:wordWrap/>
        <w:overflowPunct/>
        <w:topLinePunct w:val="0"/>
        <w:bidi w:val="0"/>
        <w:spacing w:line="360" w:lineRule="auto"/>
        <w:ind w:left="0" w:leftChars="0" w:right="0" w:rightChars="0"/>
        <w:jc w:val="center"/>
        <w:textAlignment w:val="auto"/>
        <w:outlineLvl w:val="0"/>
      </w:pPr>
      <w:bookmarkStart w:id="1" w:name="_Toc3628_WPSOffice_Level1"/>
      <w:r>
        <w:rPr>
          <w:rFonts w:hint="eastAsia"/>
          <w:b/>
          <w:bCs/>
          <w:sz w:val="30"/>
          <w:szCs w:val="30"/>
        </w:rPr>
        <w:t>第一章</w:t>
      </w:r>
      <w:r>
        <w:rPr>
          <w:b/>
          <w:bCs/>
          <w:sz w:val="30"/>
          <w:szCs w:val="30"/>
        </w:rPr>
        <w:t xml:space="preserve">   </w:t>
      </w:r>
      <w:r>
        <w:rPr>
          <w:rFonts w:hint="eastAsia"/>
          <w:b/>
          <w:bCs/>
          <w:sz w:val="30"/>
          <w:szCs w:val="30"/>
        </w:rPr>
        <w:t>竞争性磋商公告</w:t>
      </w:r>
      <w:bookmarkEnd w:id="0"/>
      <w:bookmarkEnd w:id="1"/>
    </w:p>
    <w:p>
      <w:pPr>
        <w:pStyle w:val="9"/>
        <w:pageBreakBefore w:val="0"/>
        <w:widowControl w:val="0"/>
        <w:kinsoku/>
        <w:wordWrap/>
        <w:overflowPunct/>
        <w:topLinePunct w:val="0"/>
        <w:bidi w:val="0"/>
        <w:spacing w:line="360" w:lineRule="auto"/>
        <w:ind w:left="0" w:leftChars="0" w:right="0" w:rightChars="0"/>
        <w:textAlignment w:val="auto"/>
      </w:pPr>
      <w:bookmarkStart w:id="2" w:name="OLE_LINK2"/>
      <w:bookmarkStart w:id="3" w:name="_Toc467587303"/>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依据湖北十堰职业技术（集团）学校采购计划，</w:t>
      </w:r>
      <w:r>
        <w:rPr>
          <w:rFonts w:hint="eastAsia"/>
          <w:color w:val="000000" w:themeColor="text1"/>
          <w:lang w:val="en-US" w:eastAsia="zh-CN"/>
          <w14:textFill>
            <w14:solidFill>
              <w14:schemeClr w14:val="tx1"/>
            </w14:solidFill>
          </w14:textFill>
        </w:rPr>
        <w:t>我</w:t>
      </w:r>
      <w:r>
        <w:rPr>
          <w:rFonts w:hint="eastAsia"/>
          <w:color w:val="000000" w:themeColor="text1"/>
          <w14:textFill>
            <w14:solidFill>
              <w14:schemeClr w14:val="tx1"/>
            </w14:solidFill>
          </w14:textFill>
        </w:rPr>
        <w:t>校招标办拟就资产管理系统购置项目以竞争性磋商的方式进行采购，请符合能力要求的供应商参与磋商；</w:t>
      </w:r>
    </w:p>
    <w:p>
      <w:pPr>
        <w:pStyle w:val="9"/>
        <w:pageBreakBefore w:val="0"/>
        <w:widowControl w:val="0"/>
        <w:kinsoku/>
        <w:wordWrap/>
        <w:overflowPunct/>
        <w:topLinePunct w:val="0"/>
        <w:bidi w:val="0"/>
        <w:spacing w:line="360" w:lineRule="auto"/>
        <w:ind w:left="0" w:leftChars="0" w:right="0" w:rightChars="0" w:firstLine="482" w:firstLineChars="200"/>
        <w:textAlignment w:val="auto"/>
        <w:outlineLvl w:val="1"/>
        <w:rPr>
          <w:color w:val="000000" w:themeColor="text1"/>
          <w14:textFill>
            <w14:solidFill>
              <w14:schemeClr w14:val="tx1"/>
            </w14:solidFill>
          </w14:textFill>
        </w:rPr>
      </w:pPr>
      <w:bookmarkStart w:id="4" w:name="_Toc209_WPSOffice_Level2"/>
      <w:r>
        <w:rPr>
          <w:rFonts w:hint="eastAsia"/>
          <w:b/>
          <w:bCs/>
          <w:color w:val="000000" w:themeColor="text1"/>
          <w14:textFill>
            <w14:solidFill>
              <w14:schemeClr w14:val="tx1"/>
            </w14:solidFill>
          </w14:textFill>
        </w:rPr>
        <w:t>一、采购项目名称：</w:t>
      </w:r>
      <w:bookmarkEnd w:id="4"/>
      <w:r>
        <w:rPr>
          <w:rFonts w:hint="eastAsia"/>
          <w:color w:val="000000" w:themeColor="text1"/>
          <w14:textFill>
            <w14:solidFill>
              <w14:schemeClr w14:val="tx1"/>
            </w14:solidFill>
          </w14:textFill>
        </w:rPr>
        <w:t>资产管理系统购置项目</w:t>
      </w:r>
    </w:p>
    <w:p>
      <w:pPr>
        <w:pStyle w:val="9"/>
        <w:pageBreakBefore w:val="0"/>
        <w:widowControl w:val="0"/>
        <w:kinsoku/>
        <w:wordWrap/>
        <w:overflowPunct/>
        <w:topLinePunct w:val="0"/>
        <w:bidi w:val="0"/>
        <w:spacing w:line="360" w:lineRule="auto"/>
        <w:ind w:left="0" w:leftChars="0" w:right="0" w:rightChars="0" w:firstLine="482" w:firstLineChars="200"/>
        <w:textAlignment w:val="auto"/>
        <w:outlineLvl w:val="1"/>
        <w:rPr>
          <w:color w:val="000000" w:themeColor="text1"/>
          <w14:textFill>
            <w14:solidFill>
              <w14:schemeClr w14:val="tx1"/>
            </w14:solidFill>
          </w14:textFill>
        </w:rPr>
      </w:pPr>
      <w:bookmarkStart w:id="5" w:name="_Toc20716_WPSOffice_Level2"/>
      <w:r>
        <w:rPr>
          <w:rFonts w:hint="eastAsia"/>
          <w:b/>
          <w:bCs/>
          <w:color w:val="000000" w:themeColor="text1"/>
          <w14:textFill>
            <w14:solidFill>
              <w14:schemeClr w14:val="tx1"/>
            </w14:solidFill>
          </w14:textFill>
        </w:rPr>
        <w:t>二、采购项目编号：</w:t>
      </w:r>
      <w:bookmarkEnd w:id="5"/>
      <w:r>
        <w:rPr>
          <w:rFonts w:hint="eastAsia"/>
          <w:color w:val="000000" w:themeColor="text1"/>
          <w14:textFill>
            <w14:solidFill>
              <w14:schemeClr w14:val="tx1"/>
            </w14:solidFill>
          </w14:textFill>
        </w:rPr>
        <w:t>十采计备【2019】XM</w:t>
      </w:r>
      <w:r>
        <w:rPr>
          <w:rFonts w:hint="eastAsia"/>
          <w:color w:val="000000" w:themeColor="text1"/>
          <w:lang w:val="en-US" w:eastAsia="zh-CN"/>
          <w14:textFill>
            <w14:solidFill>
              <w14:schemeClr w14:val="tx1"/>
            </w14:solidFill>
          </w14:textFill>
        </w:rPr>
        <w:t>5299</w:t>
      </w:r>
      <w:r>
        <w:rPr>
          <w:rFonts w:hint="eastAsia"/>
          <w:color w:val="000000" w:themeColor="text1"/>
          <w14:textFill>
            <w14:solidFill>
              <w14:schemeClr w14:val="tx1"/>
            </w14:solidFill>
          </w14:textFill>
        </w:rPr>
        <w:t>号</w:t>
      </w:r>
    </w:p>
    <w:p>
      <w:pPr>
        <w:pStyle w:val="9"/>
        <w:pageBreakBefore w:val="0"/>
        <w:widowControl w:val="0"/>
        <w:kinsoku/>
        <w:wordWrap/>
        <w:overflowPunct/>
        <w:topLinePunct w:val="0"/>
        <w:bidi w:val="0"/>
        <w:spacing w:line="360" w:lineRule="auto"/>
        <w:ind w:left="0" w:leftChars="0" w:right="0" w:rightChars="0" w:firstLine="482" w:firstLineChars="200"/>
        <w:textAlignment w:val="auto"/>
        <w:outlineLvl w:val="1"/>
        <w:rPr>
          <w:color w:val="000000" w:themeColor="text1"/>
          <w14:textFill>
            <w14:solidFill>
              <w14:schemeClr w14:val="tx1"/>
            </w14:solidFill>
          </w14:textFill>
        </w:rPr>
      </w:pPr>
      <w:bookmarkStart w:id="6" w:name="_Toc31459_WPSOffice_Level2"/>
      <w:r>
        <w:rPr>
          <w:rFonts w:hint="eastAsia"/>
          <w:b/>
          <w:bCs/>
          <w:color w:val="000000" w:themeColor="text1"/>
          <w14:textFill>
            <w14:solidFill>
              <w14:schemeClr w14:val="tx1"/>
            </w14:solidFill>
          </w14:textFill>
        </w:rPr>
        <w:t>三、采购项目内容：</w:t>
      </w:r>
      <w:r>
        <w:rPr>
          <w:rFonts w:hint="eastAsia"/>
          <w:color w:val="000000" w:themeColor="text1"/>
          <w14:textFill>
            <w14:solidFill>
              <w14:schemeClr w14:val="tx1"/>
            </w14:solidFill>
          </w14:textFill>
        </w:rPr>
        <w:t>资产管理系统（具体采购内容详见第三章采购项目需求及技术参数）</w:t>
      </w:r>
      <w:bookmarkEnd w:id="6"/>
    </w:p>
    <w:p>
      <w:pPr>
        <w:pStyle w:val="9"/>
        <w:pageBreakBefore w:val="0"/>
        <w:widowControl w:val="0"/>
        <w:kinsoku/>
        <w:wordWrap/>
        <w:overflowPunct/>
        <w:topLinePunct w:val="0"/>
        <w:bidi w:val="0"/>
        <w:spacing w:line="360" w:lineRule="auto"/>
        <w:ind w:left="0" w:leftChars="0" w:right="0" w:rightChars="0" w:firstLine="482" w:firstLineChars="200"/>
        <w:textAlignment w:val="auto"/>
        <w:outlineLvl w:val="1"/>
        <w:rPr>
          <w:color w:val="000000" w:themeColor="text1"/>
          <w14:textFill>
            <w14:solidFill>
              <w14:schemeClr w14:val="tx1"/>
            </w14:solidFill>
          </w14:textFill>
        </w:rPr>
      </w:pPr>
      <w:bookmarkStart w:id="7" w:name="_Toc30038_WPSOffice_Level2"/>
      <w:r>
        <w:rPr>
          <w:rFonts w:hint="eastAsia"/>
          <w:b/>
          <w:bCs/>
          <w:color w:val="000000" w:themeColor="text1"/>
          <w14:textFill>
            <w14:solidFill>
              <w14:schemeClr w14:val="tx1"/>
            </w14:solidFill>
          </w14:textFill>
        </w:rPr>
        <w:t>四、</w:t>
      </w:r>
      <w:r>
        <w:rPr>
          <w:rFonts w:hint="eastAsia"/>
          <w:b/>
          <w:bCs/>
          <w:color w:val="000000" w:themeColor="text1"/>
          <w:lang w:val="en-US" w:eastAsia="zh-CN"/>
          <w14:textFill>
            <w14:solidFill>
              <w14:schemeClr w14:val="tx1"/>
            </w14:solidFill>
          </w14:textFill>
        </w:rPr>
        <w:t>项目预算</w:t>
      </w:r>
      <w:r>
        <w:rPr>
          <w:rFonts w:hint="eastAsia"/>
          <w:b/>
          <w:bCs/>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万元（即本项目的最高限价）；</w:t>
      </w:r>
      <w:bookmarkEnd w:id="7"/>
    </w:p>
    <w:p>
      <w:pPr>
        <w:pStyle w:val="9"/>
        <w:pageBreakBefore w:val="0"/>
        <w:widowControl w:val="0"/>
        <w:kinsoku/>
        <w:wordWrap/>
        <w:overflowPunct/>
        <w:topLinePunct w:val="0"/>
        <w:bidi w:val="0"/>
        <w:spacing w:line="360" w:lineRule="auto"/>
        <w:ind w:left="0" w:leftChars="0" w:right="0" w:rightChars="0" w:firstLine="482" w:firstLineChars="200"/>
        <w:textAlignment w:val="auto"/>
        <w:outlineLvl w:val="1"/>
        <w:rPr>
          <w:b/>
          <w:bCs/>
          <w:color w:val="000000" w:themeColor="text1"/>
          <w14:textFill>
            <w14:solidFill>
              <w14:schemeClr w14:val="tx1"/>
            </w14:solidFill>
          </w14:textFill>
        </w:rPr>
      </w:pPr>
      <w:bookmarkStart w:id="8" w:name="_Toc19883_WPSOffice_Level2"/>
      <w:r>
        <w:rPr>
          <w:rFonts w:hint="eastAsia"/>
          <w:b/>
          <w:bCs/>
          <w:color w:val="000000" w:themeColor="text1"/>
          <w:lang w:val="en-US" w:eastAsia="zh-CN"/>
          <w14:textFill>
            <w14:solidFill>
              <w14:schemeClr w14:val="tx1"/>
            </w14:solidFill>
          </w14:textFill>
        </w:rPr>
        <w:t>五</w:t>
      </w:r>
      <w:r>
        <w:rPr>
          <w:rFonts w:hint="eastAsia"/>
          <w:b/>
          <w:bCs/>
          <w:color w:val="000000" w:themeColor="text1"/>
          <w14:textFill>
            <w14:solidFill>
              <w14:schemeClr w14:val="tx1"/>
            </w14:solidFill>
          </w14:textFill>
        </w:rPr>
        <w:t>、供应商资格要求：</w:t>
      </w:r>
      <w:bookmarkEnd w:id="8"/>
    </w:p>
    <w:p>
      <w:pPr>
        <w:pStyle w:val="9"/>
        <w:pageBreakBefore w:val="0"/>
        <w:widowControl w:val="0"/>
        <w:kinsoku/>
        <w:wordWrap/>
        <w:overflowPunct/>
        <w:topLinePunct w:val="0"/>
        <w:bidi w:val="0"/>
        <w:spacing w:line="360" w:lineRule="auto"/>
        <w:ind w:left="0" w:leftChars="0" w:right="0" w:rightChars="0" w:firstLine="480" w:firstLineChars="200"/>
        <w:textAlignment w:val="auto"/>
        <w:outlineLvl w:val="1"/>
        <w:rPr>
          <w:rFonts w:hint="eastAsia"/>
          <w:color w:val="000000" w:themeColor="text1"/>
          <w14:textFill>
            <w14:solidFill>
              <w14:schemeClr w14:val="tx1"/>
            </w14:solidFill>
          </w14:textFill>
        </w:rPr>
      </w:pPr>
      <w:bookmarkStart w:id="9" w:name="_Toc17258_WPSOffice_Level2"/>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、供应商须在中国工商行政管理机关注册登记并取得营业执照，经营范围具备相关内容；</w:t>
      </w:r>
    </w:p>
    <w:p>
      <w:pPr>
        <w:pStyle w:val="9"/>
        <w:pageBreakBefore w:val="0"/>
        <w:widowControl w:val="0"/>
        <w:kinsoku/>
        <w:wordWrap/>
        <w:overflowPunct/>
        <w:topLinePunct w:val="0"/>
        <w:bidi w:val="0"/>
        <w:spacing w:line="360" w:lineRule="auto"/>
        <w:ind w:left="0" w:leftChars="0" w:right="0" w:rightChars="0" w:firstLine="480" w:firstLineChars="200"/>
        <w:textAlignment w:val="auto"/>
        <w:outlineLvl w:val="1"/>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有依法缴纳社会保障资金（近半年）的良好记录；</w:t>
      </w:r>
    </w:p>
    <w:p>
      <w:pPr>
        <w:pStyle w:val="9"/>
        <w:pageBreakBefore w:val="0"/>
        <w:widowControl w:val="0"/>
        <w:kinsoku/>
        <w:wordWrap/>
        <w:overflowPunct/>
        <w:topLinePunct w:val="0"/>
        <w:bidi w:val="0"/>
        <w:spacing w:line="360" w:lineRule="auto"/>
        <w:ind w:left="0" w:leftChars="0" w:right="0" w:rightChars="0" w:firstLine="480" w:firstLineChars="200"/>
        <w:textAlignment w:val="auto"/>
        <w:outlineLvl w:val="1"/>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 xml:space="preserve">在经营活动中没有重大违法记录（供应商需自行出具签字盖章的承诺函）； </w:t>
      </w:r>
    </w:p>
    <w:p>
      <w:pPr>
        <w:pStyle w:val="9"/>
        <w:pageBreakBefore w:val="0"/>
        <w:widowControl w:val="0"/>
        <w:kinsoku/>
        <w:wordWrap/>
        <w:overflowPunct/>
        <w:topLinePunct w:val="0"/>
        <w:bidi w:val="0"/>
        <w:spacing w:line="360" w:lineRule="auto"/>
        <w:ind w:left="0" w:leftChars="0" w:right="0" w:rightChars="0" w:firstLine="480" w:firstLineChars="200"/>
        <w:textAlignment w:val="auto"/>
        <w:outlineLvl w:val="1"/>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.供应商具有软件所有权或具有代理软件公司的产品销售授权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pStyle w:val="9"/>
        <w:pageBreakBefore w:val="0"/>
        <w:widowControl w:val="0"/>
        <w:kinsoku/>
        <w:wordWrap/>
        <w:overflowPunct/>
        <w:topLinePunct w:val="0"/>
        <w:bidi w:val="0"/>
        <w:spacing w:line="360" w:lineRule="auto"/>
        <w:ind w:left="0" w:leftChars="0" w:right="0" w:rightChars="0" w:firstLine="480" w:firstLineChars="200"/>
        <w:textAlignment w:val="auto"/>
        <w:outlineLvl w:val="1"/>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、本项目不接受联合体方式投标。</w:t>
      </w:r>
    </w:p>
    <w:p>
      <w:pPr>
        <w:pStyle w:val="9"/>
        <w:pageBreakBefore w:val="0"/>
        <w:widowControl w:val="0"/>
        <w:kinsoku/>
        <w:wordWrap/>
        <w:overflowPunct/>
        <w:topLinePunct w:val="0"/>
        <w:bidi w:val="0"/>
        <w:spacing w:line="360" w:lineRule="auto"/>
        <w:ind w:left="0" w:leftChars="0" w:right="0" w:rightChars="0" w:firstLine="482" w:firstLineChars="200"/>
        <w:textAlignment w:val="auto"/>
        <w:outlineLvl w:val="1"/>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六</w:t>
      </w:r>
      <w:r>
        <w:rPr>
          <w:rFonts w:hint="eastAsia"/>
          <w:b/>
          <w:bCs/>
          <w:color w:val="000000" w:themeColor="text1"/>
          <w14:textFill>
            <w14:solidFill>
              <w14:schemeClr w14:val="tx1"/>
            </w14:solidFill>
          </w14:textFill>
        </w:rPr>
        <w:t>、磋商时间及地点</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磋商时间：2019年12月6日9时45分。</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2、磋商地点：湖北省十堰市茅箭区丹江路26号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湖北十堰职业技术（集团）学校行政楼501室资产办</w:t>
      </w:r>
    </w:p>
    <w:p>
      <w:pPr>
        <w:pStyle w:val="9"/>
        <w:pageBreakBefore w:val="0"/>
        <w:widowControl w:val="0"/>
        <w:kinsoku/>
        <w:wordWrap/>
        <w:overflowPunct/>
        <w:topLinePunct w:val="0"/>
        <w:bidi w:val="0"/>
        <w:spacing w:line="360" w:lineRule="auto"/>
        <w:ind w:left="0" w:leftChars="0" w:right="0" w:rightChars="0" w:firstLine="482" w:firstLineChars="200"/>
        <w:textAlignment w:val="auto"/>
        <w:outlineLvl w:val="1"/>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七</w:t>
      </w:r>
      <w:r>
        <w:rPr>
          <w:rFonts w:hint="eastAsia"/>
          <w:b/>
          <w:bCs/>
          <w:color w:val="000000" w:themeColor="text1"/>
          <w14:textFill>
            <w14:solidFill>
              <w14:schemeClr w14:val="tx1"/>
            </w14:solidFill>
          </w14:textFill>
        </w:rPr>
        <w:t>、磋商文件的获取：</w:t>
      </w:r>
      <w:bookmarkEnd w:id="9"/>
    </w:p>
    <w:p>
      <w:pPr>
        <w:pStyle w:val="9"/>
        <w:pageBreakBefore w:val="0"/>
        <w:widowControl w:val="0"/>
        <w:kinsoku/>
        <w:wordWrap/>
        <w:overflowPunct/>
        <w:topLinePunct w:val="0"/>
        <w:bidi w:val="0"/>
        <w:spacing w:line="360" w:lineRule="auto"/>
        <w:ind w:left="0" w:leftChars="0" w:right="0" w:rightChars="0" w:firstLine="480" w:firstLineChars="200"/>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竞争性磋商文件直接点击附件下载，现场收取竞争性磋商响应文件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逾期送达的竞争性磋商响应文件恕不接受</w:t>
      </w:r>
      <w:r>
        <w:rPr>
          <w:rFonts w:hint="eastAsia"/>
          <w:color w:val="000000" w:themeColor="text1"/>
          <w:lang w:eastAsia="zh-CN"/>
          <w14:textFill>
            <w14:solidFill>
              <w14:schemeClr w14:val="tx1"/>
            </w14:solidFill>
          </w14:textFill>
        </w:rPr>
        <w:t>。</w:t>
      </w:r>
    </w:p>
    <w:p>
      <w:pPr>
        <w:pStyle w:val="9"/>
        <w:pageBreakBefore w:val="0"/>
        <w:widowControl w:val="0"/>
        <w:kinsoku/>
        <w:wordWrap/>
        <w:overflowPunct/>
        <w:topLinePunct w:val="0"/>
        <w:bidi w:val="0"/>
        <w:spacing w:line="360" w:lineRule="auto"/>
        <w:ind w:left="0" w:leftChars="0" w:right="0" w:rightChars="0" w:firstLine="482" w:firstLineChars="200"/>
        <w:textAlignment w:val="auto"/>
        <w:outlineLvl w:val="1"/>
        <w:rPr>
          <w:b/>
          <w:bCs/>
          <w:color w:val="000000" w:themeColor="text1"/>
          <w14:textFill>
            <w14:solidFill>
              <w14:schemeClr w14:val="tx1"/>
            </w14:solidFill>
          </w14:textFill>
        </w:rPr>
      </w:pPr>
      <w:bookmarkStart w:id="10" w:name="_Toc3769_WPSOffice_Level2"/>
      <w:r>
        <w:rPr>
          <w:rFonts w:hint="eastAsia"/>
          <w:b/>
          <w:bCs/>
          <w:color w:val="000000" w:themeColor="text1"/>
          <w:lang w:val="en-US" w:eastAsia="zh-CN"/>
          <w14:textFill>
            <w14:solidFill>
              <w14:schemeClr w14:val="tx1"/>
            </w14:solidFill>
          </w14:textFill>
        </w:rPr>
        <w:t>八</w:t>
      </w:r>
      <w:r>
        <w:rPr>
          <w:rFonts w:hint="eastAsia"/>
          <w:b/>
          <w:bCs/>
          <w:color w:val="000000" w:themeColor="text1"/>
          <w14:textFill>
            <w14:solidFill>
              <w14:schemeClr w14:val="tx1"/>
            </w14:solidFill>
          </w14:textFill>
        </w:rPr>
        <w:t>、联系方式：</w:t>
      </w:r>
      <w:bookmarkEnd w:id="10"/>
    </w:p>
    <w:p>
      <w:pPr>
        <w:pStyle w:val="9"/>
        <w:pageBreakBefore w:val="0"/>
        <w:widowControl w:val="0"/>
        <w:kinsoku/>
        <w:wordWrap/>
        <w:overflowPunct/>
        <w:topLinePunct w:val="0"/>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招标办联系人：陈杨桦</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联系电话：17771917802</w:t>
      </w:r>
    </w:p>
    <w:p>
      <w:pPr>
        <w:pStyle w:val="9"/>
        <w:pageBreakBefore w:val="0"/>
        <w:widowControl w:val="0"/>
        <w:kinsoku/>
        <w:wordWrap/>
        <w:overflowPunct/>
        <w:topLinePunct w:val="0"/>
        <w:bidi w:val="0"/>
        <w:spacing w:line="360" w:lineRule="auto"/>
        <w:ind w:right="0" w:rightChars="0"/>
        <w:textAlignment w:val="auto"/>
        <w:rPr>
          <w:rFonts w:hint="eastAsia"/>
          <w:color w:val="000000" w:themeColor="text1"/>
          <w:lang w:val="en-US"/>
          <w14:textFill>
            <w14:solidFill>
              <w14:schemeClr w14:val="tx1"/>
            </w14:solidFill>
          </w14:textFill>
        </w:rPr>
      </w:pPr>
      <w:bookmarkStart w:id="254" w:name="_GoBack"/>
      <w:r>
        <w:rPr>
          <w:rFonts w:hint="eastAsia"/>
          <w:color w:val="000000" w:themeColor="text1"/>
          <w:lang w:val="en-US" w:eastAsia="zh-CN"/>
          <w14:textFill>
            <w14:solidFill>
              <w14:schemeClr w14:val="tx1"/>
            </w14:solidFill>
          </w14:textFill>
        </w:rPr>
        <w:t>相关附件：</w:t>
      </w:r>
      <w:r>
        <w:rPr>
          <w:rFonts w:hint="eastAsia"/>
          <w:color w:val="000000" w:themeColor="text1"/>
          <w:lang w:val="en-US" w:eastAsia="zh-CN"/>
          <w14:textFill>
            <w14:solidFill>
              <w14:schemeClr w14:val="tx1"/>
            </w14:solidFill>
          </w14:textFill>
        </w:rPr>
        <w:fldChar w:fldCharType="begin"/>
      </w:r>
      <w:r>
        <w:rPr>
          <w:rFonts w:hint="eastAsia"/>
          <w:color w:val="000000" w:themeColor="text1"/>
          <w:lang w:val="en-US" w:eastAsia="zh-CN"/>
          <w14:textFill>
            <w14:solidFill>
              <w14:schemeClr w14:val="tx1"/>
            </w14:solidFill>
          </w14:textFill>
        </w:rPr>
        <w:instrText xml:space="preserve"> HYPERLINK "http://www.syzjjt.com/uploadfile/file/20191204/20191204180553_47437.doc" \t "http://www.syzjjt.com/_blank" </w:instrText>
      </w:r>
      <w:r>
        <w:rPr>
          <w:rFonts w:hint="eastAsia"/>
          <w:color w:val="000000" w:themeColor="text1"/>
          <w:lang w:val="en-US" w:eastAsia="zh-CN"/>
          <w14:textFill>
            <w14:solidFill>
              <w14:schemeClr w14:val="tx1"/>
            </w14:solidFill>
          </w14:textFill>
        </w:rPr>
        <w:fldChar w:fldCharType="separate"/>
      </w:r>
      <w:r>
        <w:rPr>
          <w:rFonts w:hint="eastAsia"/>
          <w:color w:val="000000" w:themeColor="text1"/>
          <w:lang w:val="en-US"/>
          <w14:textFill>
            <w14:solidFill>
              <w14:schemeClr w14:val="tx1"/>
            </w14:solidFill>
          </w14:textFill>
        </w:rPr>
        <w:t>报价文件</w:t>
      </w:r>
      <w:r>
        <w:rPr>
          <w:rFonts w:hint="eastAsia"/>
          <w:color w:val="000000" w:themeColor="text1"/>
          <w:lang w:val="en-US" w:eastAsia="zh-CN"/>
          <w14:textFill>
            <w14:solidFill>
              <w14:schemeClr w14:val="tx1"/>
            </w14:solidFill>
          </w14:textFill>
        </w:rPr>
        <w:fldChar w:fldCharType="end"/>
      </w:r>
    </w:p>
    <w:p>
      <w:pPr>
        <w:pStyle w:val="9"/>
        <w:pageBreakBefore w:val="0"/>
        <w:widowControl w:val="0"/>
        <w:kinsoku/>
        <w:wordWrap/>
        <w:overflowPunct/>
        <w:topLinePunct w:val="0"/>
        <w:bidi w:val="0"/>
        <w:spacing w:line="360" w:lineRule="auto"/>
        <w:ind w:left="0" w:leftChars="0" w:right="0" w:rightChars="0" w:firstLine="480" w:firstLineChars="200"/>
        <w:jc w:val="right"/>
        <w:textAlignment w:val="auto"/>
        <w:rPr>
          <w:rFonts w:hint="eastAsia"/>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湖北十堰职业技术（集团）学校</w:t>
      </w:r>
    </w:p>
    <w:p>
      <w:pPr>
        <w:pStyle w:val="9"/>
        <w:pageBreakBefore w:val="0"/>
        <w:widowControl w:val="0"/>
        <w:kinsoku/>
        <w:wordWrap/>
        <w:overflowPunct/>
        <w:topLinePunct w:val="0"/>
        <w:bidi w:val="0"/>
        <w:spacing w:line="360" w:lineRule="auto"/>
        <w:ind w:left="0" w:leftChars="0" w:right="0" w:rightChars="0" w:firstLine="480" w:firstLineChars="200"/>
        <w:jc w:val="right"/>
        <w:textAlignment w:val="auto"/>
        <w:rPr>
          <w:rFonts w:hint="eastAsia"/>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2019年12月4日</w:t>
      </w:r>
      <w:bookmarkEnd w:id="2"/>
      <w:bookmarkEnd w:id="3"/>
    </w:p>
    <w:bookmarkEnd w:id="254"/>
    <w:p>
      <w:pPr>
        <w:pStyle w:val="9"/>
        <w:pageBreakBefore w:val="0"/>
        <w:widowControl w:val="0"/>
        <w:kinsoku/>
        <w:wordWrap/>
        <w:overflowPunct/>
        <w:topLinePunct w:val="0"/>
        <w:bidi w:val="0"/>
        <w:spacing w:line="360" w:lineRule="auto"/>
        <w:ind w:left="0" w:leftChars="0" w:right="0" w:rightChars="0"/>
        <w:jc w:val="center"/>
        <w:textAlignment w:val="auto"/>
        <w:outlineLvl w:val="0"/>
        <w:rPr>
          <w:b/>
          <w:bCs/>
          <w:sz w:val="30"/>
          <w:szCs w:val="30"/>
        </w:rPr>
      </w:pPr>
      <w:bookmarkStart w:id="11" w:name="_Toc15973_WPSOffice_Level1"/>
      <w:bookmarkStart w:id="12" w:name="_Toc27184_WPSOffice_Level1"/>
      <w:r>
        <w:rPr>
          <w:rFonts w:hint="eastAsia"/>
          <w:b/>
          <w:bCs/>
          <w:sz w:val="30"/>
          <w:szCs w:val="30"/>
        </w:rPr>
        <w:t>第二章</w:t>
      </w:r>
      <w:r>
        <w:rPr>
          <w:b/>
          <w:bCs/>
          <w:sz w:val="30"/>
          <w:szCs w:val="30"/>
          <w:lang w:val="en-US"/>
        </w:rPr>
        <w:t xml:space="preserve"> </w:t>
      </w:r>
      <w:r>
        <w:rPr>
          <w:rFonts w:hint="eastAsia"/>
          <w:b/>
          <w:bCs/>
          <w:sz w:val="30"/>
          <w:szCs w:val="30"/>
          <w:lang w:val="en-US"/>
        </w:rPr>
        <w:t>磋商须知</w:t>
      </w:r>
      <w:bookmarkEnd w:id="11"/>
      <w:bookmarkEnd w:id="12"/>
    </w:p>
    <w:p>
      <w:pPr>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rFonts w:hint="eastAsia"/>
        </w:rPr>
        <w:t>磋商供应商应仔细阅读竞争性磋商文件的第二章“磋商须知”，下面所列资料是对“磋商须知”的具体补充和说明；如有矛盾，应以本表为准；</w:t>
      </w:r>
    </w:p>
    <w:tbl>
      <w:tblPr>
        <w:tblStyle w:val="17"/>
        <w:tblW w:w="9029" w:type="dxa"/>
        <w:jc w:val="center"/>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1"/>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91" w:hRule="atLeast"/>
          <w:jc w:val="center"/>
        </w:trPr>
        <w:tc>
          <w:tcPr>
            <w:tcW w:w="751"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8278"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内</w:t>
            </w:r>
            <w:r>
              <w:rPr>
                <w:b/>
                <w:bCs/>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751"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278" w:type="dxa"/>
            <w:vAlign w:val="center"/>
          </w:tcPr>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磋商供应商资格条件：</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、供应商须在中国工商行政管理机关注册登记并取得营业执照，经营范围具备相关内容；</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有依法缴纳社会保障资金（近半年）的良好记录；</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 xml:space="preserve">在经营活动中没有重大违法记录（供应商需自行出具签字盖章的承诺函）； </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.供应商具有软件所有权或具有代理软件公司的产品销售授权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、本项目不接受联合体方式投标。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161" w:hRule="atLeast"/>
          <w:jc w:val="center"/>
        </w:trPr>
        <w:tc>
          <w:tcPr>
            <w:tcW w:w="751"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8278" w:type="dxa"/>
            <w:vAlign w:val="center"/>
          </w:tcPr>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23" w:hRule="atLeast"/>
          <w:jc w:val="center"/>
        </w:trPr>
        <w:tc>
          <w:tcPr>
            <w:tcW w:w="751"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8278" w:type="dxa"/>
            <w:vAlign w:val="center"/>
          </w:tcPr>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竞争性磋商文件份数：正本“</w:t>
            </w:r>
            <w:r>
              <w:rPr>
                <w:rFonts w:hint="eastAsia"/>
                <w:b/>
                <w:bCs/>
                <w:color w:val="000000" w:themeColor="text1"/>
                <w14:textFill>
                  <w14:solidFill>
                    <w14:schemeClr w14:val="tx1"/>
                  </w14:solidFill>
                </w14:textFill>
              </w:rPr>
              <w:t>壹</w:t>
            </w:r>
            <w:r>
              <w:rPr>
                <w:rFonts w:hint="eastAsia"/>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802" w:hRule="atLeast"/>
          <w:jc w:val="center"/>
        </w:trPr>
        <w:tc>
          <w:tcPr>
            <w:tcW w:w="751"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8278" w:type="dxa"/>
            <w:vAlign w:val="center"/>
          </w:tcPr>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竞争性磋商响应文件的密封：</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）竞争性磋商响应文件必须密封，并在密封袋启封处加盖公章；</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）磋商供应商在投标时请另外准备“报价一览表（两份）、法人代表授权书原件（一份）”单独密封入一个信封，做磋商记录用；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751"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8278" w:type="dxa"/>
            <w:vAlign w:val="center"/>
          </w:tcPr>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磋商时间：</w:t>
            </w:r>
            <w:r>
              <w:rPr>
                <w:b/>
                <w:bCs/>
                <w:color w:val="000000" w:themeColor="text1"/>
                <w:u w:val="single"/>
                <w14:textFill>
                  <w14:solidFill>
                    <w14:schemeClr w14:val="tx1"/>
                  </w14:solidFill>
                </w14:textFill>
              </w:rPr>
              <w:t>201</w:t>
            </w:r>
            <w:r>
              <w:rPr>
                <w:b/>
                <w:bCs/>
                <w:color w:val="000000" w:themeColor="text1"/>
                <w:u w:val="single"/>
                <w:lang w:val="en-US"/>
                <w14:textFill>
                  <w14:solidFill>
                    <w14:schemeClr w14:val="tx1"/>
                  </w14:solidFill>
                </w14:textFill>
              </w:rPr>
              <w:t>9</w:t>
            </w:r>
            <w:r>
              <w:rPr>
                <w:rFonts w:hint="eastAsia"/>
                <w:color w:val="000000" w:themeColor="text1"/>
                <w14:textFill>
                  <w14:solidFill>
                    <w14:schemeClr w14:val="tx1"/>
                  </w14:solidFill>
                </w14:textFill>
              </w:rPr>
              <w:t>年</w:t>
            </w:r>
            <w:r>
              <w:rPr>
                <w:rFonts w:hint="eastAsia"/>
                <w:color w:val="000000" w:themeColor="text1"/>
                <w:u w:val="single"/>
                <w:lang w:val="en-US" w:eastAsia="zh-CN"/>
                <w14:textFill>
                  <w14:solidFill>
                    <w14:schemeClr w14:val="tx1"/>
                  </w14:solidFill>
                </w14:textFill>
              </w:rPr>
              <w:t xml:space="preserve"> 12 </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 xml:space="preserve"> 6 </w:t>
            </w:r>
            <w:r>
              <w:rPr>
                <w:rFonts w:hint="eastAsia"/>
                <w:color w:val="000000" w:themeColor="text1"/>
                <w14:textFill>
                  <w14:solidFill>
                    <w14:schemeClr w14:val="tx1"/>
                  </w14:solidFill>
                </w14:textFill>
              </w:rPr>
              <w:t>日</w:t>
            </w:r>
            <w:r>
              <w:rPr>
                <w:rFonts w:hint="eastAsia"/>
                <w:color w:val="000000" w:themeColor="text1"/>
                <w:u w:val="single"/>
                <w:lang w:val="en-US" w:eastAsia="zh-CN"/>
                <w14:textFill>
                  <w14:solidFill>
                    <w14:schemeClr w14:val="tx1"/>
                  </w14:solidFill>
                </w14:textFill>
              </w:rPr>
              <w:t xml:space="preserve"> 9 </w:t>
            </w:r>
            <w:r>
              <w:rPr>
                <w:rFonts w:hint="eastAsia"/>
                <w:color w:val="000000" w:themeColor="text1"/>
                <w14:textFill>
                  <w14:solidFill>
                    <w14:schemeClr w14:val="tx1"/>
                  </w14:solidFill>
                </w14:textFill>
              </w:rPr>
              <w:t>时</w:t>
            </w:r>
            <w:r>
              <w:rPr>
                <w:rFonts w:hint="eastAsia"/>
                <w:color w:val="000000" w:themeColor="text1"/>
                <w:u w:val="single"/>
                <w:lang w:val="en-US" w:eastAsia="zh-CN"/>
                <w14:textFill>
                  <w14:solidFill>
                    <w14:schemeClr w14:val="tx1"/>
                  </w14:solidFill>
                </w14:textFill>
              </w:rPr>
              <w:t xml:space="preserve"> 45 </w:t>
            </w:r>
            <w:r>
              <w:rPr>
                <w:rFonts w:hint="eastAsia"/>
                <w:color w:val="000000" w:themeColor="text1"/>
                <w14:textFill>
                  <w14:solidFill>
                    <w14:schemeClr w14:val="tx1"/>
                  </w14:solidFill>
                </w14:textFill>
              </w:rPr>
              <w:t>分整（北京时间）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0" w:hRule="atLeast"/>
          <w:jc w:val="center"/>
        </w:trPr>
        <w:tc>
          <w:tcPr>
            <w:tcW w:w="751"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8278" w:type="dxa"/>
            <w:vAlign w:val="center"/>
          </w:tcPr>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磋商地点：湖北省十堰市茅箭区丹江路26号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湖北十堰职业技术（集团）学校行政楼501室资产办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jc w:val="center"/>
        </w:trPr>
        <w:tc>
          <w:tcPr>
            <w:tcW w:w="751"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8278" w:type="dxa"/>
            <w:vAlign w:val="center"/>
          </w:tcPr>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w:t>
            </w:r>
            <w:r>
              <w:rPr>
                <w:rFonts w:hint="eastAsia"/>
                <w:color w:val="000000" w:themeColor="text1"/>
                <w:lang w:val="en-US" w:eastAsia="zh-CN"/>
                <w14:textFill>
                  <w14:solidFill>
                    <w14:schemeClr w14:val="tx1"/>
                  </w14:solidFill>
                </w14:textFill>
              </w:rPr>
              <w:t>5</w:t>
            </w:r>
            <w:r>
              <w:rPr>
                <w:rFonts w:hint="eastAsia"/>
                <w:b/>
                <w:bCs/>
                <w:color w:val="000000" w:themeColor="text1"/>
                <w14:textFill>
                  <w14:solidFill>
                    <w14:schemeClr w14:val="tx1"/>
                  </w14:solidFill>
                </w14:textFill>
              </w:rPr>
              <w:t>万元；供应商单位不能超过最高限价，否则作废标处理；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85" w:hRule="atLeast"/>
          <w:jc w:val="center"/>
        </w:trPr>
        <w:tc>
          <w:tcPr>
            <w:tcW w:w="9029" w:type="dxa"/>
            <w:gridSpan w:val="2"/>
            <w:vAlign w:val="center"/>
          </w:tcPr>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适用法律：《中华人民共和国政府采购法》、《中华人民共和国政府采购法实施条例》、《政府采购竞争性磋商采购方式管理暂行办法》、《湖北省政府采购工作规程》；</w:t>
            </w:r>
          </w:p>
        </w:tc>
      </w:tr>
    </w:tbl>
    <w:p>
      <w:pPr>
        <w:pStyle w:val="9"/>
        <w:pageBreakBefore w:val="0"/>
        <w:widowControl w:val="0"/>
        <w:kinsoku/>
        <w:wordWrap/>
        <w:overflowPunct/>
        <w:topLinePunct w:val="0"/>
        <w:bidi w:val="0"/>
        <w:spacing w:line="360" w:lineRule="auto"/>
        <w:ind w:left="0" w:leftChars="0" w:right="0" w:rightChars="0"/>
        <w:textAlignment w:val="auto"/>
        <w:outlineLvl w:val="1"/>
        <w:rPr>
          <w:b/>
          <w:bCs/>
          <w:lang w:val="en-US"/>
        </w:rPr>
      </w:pPr>
      <w:bookmarkStart w:id="13" w:name="_Toc9858"/>
      <w:bookmarkStart w:id="14" w:name="_Toc467587306"/>
      <w:bookmarkStart w:id="15" w:name="_Toc21654_WPSOffice_Level2"/>
      <w:bookmarkStart w:id="16" w:name="_Toc5532"/>
      <w:bookmarkStart w:id="17" w:name="_Toc21799"/>
      <w:bookmarkStart w:id="18" w:name="_Toc446599876"/>
      <w:bookmarkStart w:id="19" w:name="_Toc25068"/>
      <w:bookmarkStart w:id="20" w:name="_Toc447024817"/>
      <w:bookmarkStart w:id="21" w:name="_Toc31235"/>
    </w:p>
    <w:p>
      <w:pPr>
        <w:pStyle w:val="9"/>
        <w:pageBreakBefore w:val="0"/>
        <w:widowControl w:val="0"/>
        <w:kinsoku/>
        <w:wordWrap/>
        <w:overflowPunct/>
        <w:topLinePunct w:val="0"/>
        <w:bidi w:val="0"/>
        <w:spacing w:line="360" w:lineRule="auto"/>
        <w:ind w:left="0" w:leftChars="0" w:right="0" w:rightChars="0"/>
        <w:textAlignment w:val="auto"/>
        <w:outlineLvl w:val="1"/>
        <w:rPr>
          <w:b/>
          <w:bCs/>
          <w:lang w:val="en-US"/>
        </w:rPr>
      </w:pPr>
    </w:p>
    <w:p>
      <w:pPr>
        <w:pStyle w:val="9"/>
        <w:pageBreakBefore w:val="0"/>
        <w:widowControl w:val="0"/>
        <w:kinsoku/>
        <w:wordWrap/>
        <w:overflowPunct/>
        <w:topLinePunct w:val="0"/>
        <w:bidi w:val="0"/>
        <w:spacing w:line="360" w:lineRule="auto"/>
        <w:ind w:left="0" w:leftChars="0" w:right="0" w:rightChars="0"/>
        <w:textAlignment w:val="auto"/>
        <w:outlineLvl w:val="1"/>
        <w:rPr>
          <w:b/>
          <w:bCs/>
          <w:lang w:val="en-US"/>
        </w:rPr>
      </w:pPr>
    </w:p>
    <w:p>
      <w:pPr>
        <w:pStyle w:val="9"/>
        <w:pageBreakBefore w:val="0"/>
        <w:widowControl w:val="0"/>
        <w:kinsoku/>
        <w:wordWrap/>
        <w:overflowPunct/>
        <w:topLinePunct w:val="0"/>
        <w:bidi w:val="0"/>
        <w:spacing w:line="360" w:lineRule="auto"/>
        <w:ind w:left="0" w:leftChars="0" w:right="0" w:rightChars="0"/>
        <w:textAlignment w:val="auto"/>
        <w:outlineLvl w:val="1"/>
        <w:rPr>
          <w:b/>
          <w:bCs/>
          <w:lang w:val="en-US"/>
        </w:rPr>
      </w:pPr>
    </w:p>
    <w:p>
      <w:pPr>
        <w:pStyle w:val="9"/>
        <w:pageBreakBefore w:val="0"/>
        <w:widowControl w:val="0"/>
        <w:kinsoku/>
        <w:wordWrap/>
        <w:overflowPunct/>
        <w:topLinePunct w:val="0"/>
        <w:bidi w:val="0"/>
        <w:spacing w:line="360" w:lineRule="auto"/>
        <w:ind w:left="0" w:leftChars="0" w:right="0" w:rightChars="0"/>
        <w:textAlignment w:val="auto"/>
        <w:outlineLvl w:val="1"/>
        <w:rPr>
          <w:b/>
          <w:bCs/>
          <w:lang w:val="en-US"/>
        </w:rPr>
      </w:pPr>
    </w:p>
    <w:p>
      <w:pPr>
        <w:pStyle w:val="9"/>
        <w:pageBreakBefore w:val="0"/>
        <w:widowControl w:val="0"/>
        <w:kinsoku/>
        <w:wordWrap/>
        <w:overflowPunct/>
        <w:topLinePunct w:val="0"/>
        <w:bidi w:val="0"/>
        <w:spacing w:line="360" w:lineRule="auto"/>
        <w:ind w:left="0" w:leftChars="0" w:right="0" w:rightChars="0"/>
        <w:textAlignment w:val="auto"/>
        <w:outlineLvl w:val="1"/>
        <w:rPr>
          <w:b/>
          <w:bCs/>
          <w:lang w:val="en-US"/>
        </w:rPr>
      </w:pP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22" w:name="_Toc27184_WPSOffice_Level2"/>
      <w:r>
        <w:rPr>
          <w:b/>
          <w:bCs/>
          <w:lang w:val="en-US"/>
        </w:rPr>
        <w:t>1</w:t>
      </w:r>
      <w:r>
        <w:rPr>
          <w:rFonts w:hint="eastAsia"/>
          <w:b/>
          <w:bCs/>
          <w:lang w:val="en-US"/>
        </w:rPr>
        <w:t>、</w:t>
      </w:r>
      <w:r>
        <w:rPr>
          <w:rFonts w:hint="eastAsia"/>
          <w:b/>
          <w:bCs/>
        </w:rPr>
        <w:t>适用法律及范围</w:t>
      </w:r>
      <w:bookmarkEnd w:id="13"/>
      <w:bookmarkEnd w:id="14"/>
      <w:bookmarkEnd w:id="15"/>
      <w:bookmarkEnd w:id="16"/>
      <w:bookmarkEnd w:id="17"/>
      <w:bookmarkEnd w:id="18"/>
      <w:bookmarkEnd w:id="19"/>
      <w:bookmarkEnd w:id="20"/>
      <w:bookmarkEnd w:id="21"/>
      <w:bookmarkEnd w:id="22"/>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1.1</w:t>
      </w:r>
      <w:r>
        <w:rPr>
          <w:rFonts w:hint="eastAsia"/>
        </w:rPr>
        <w:t>本竞争性磋商文件仅适用于本次竞争性磋商中所述的货物项目的采购；</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23" w:name="_Toc447024818"/>
      <w:bookmarkStart w:id="24" w:name="_Toc3391_WPSOffice_Level2"/>
      <w:bookmarkStart w:id="25" w:name="_Toc467587307"/>
      <w:bookmarkStart w:id="26" w:name="_Toc17234_WPSOffice_Level2"/>
      <w:bookmarkStart w:id="27" w:name="_Toc21089"/>
      <w:bookmarkStart w:id="28" w:name="_Toc7174"/>
      <w:bookmarkStart w:id="29" w:name="_Toc835"/>
      <w:bookmarkStart w:id="30" w:name="_Toc8386"/>
      <w:bookmarkStart w:id="31" w:name="_Toc18669"/>
      <w:bookmarkStart w:id="32" w:name="_Toc446599878"/>
      <w:r>
        <w:rPr>
          <w:b/>
          <w:bCs/>
          <w:lang w:val="en-US"/>
        </w:rPr>
        <w:t>2</w:t>
      </w:r>
      <w:r>
        <w:rPr>
          <w:rFonts w:hint="eastAsia"/>
          <w:b/>
          <w:bCs/>
          <w:lang w:val="en-US"/>
        </w:rPr>
        <w:t>、</w:t>
      </w:r>
      <w:r>
        <w:rPr>
          <w:rFonts w:hint="eastAsia"/>
          <w:b/>
          <w:bCs/>
        </w:rPr>
        <w:t>定义</w:t>
      </w:r>
      <w:bookmarkEnd w:id="23"/>
      <w:bookmarkEnd w:id="24"/>
      <w:bookmarkEnd w:id="25"/>
      <w:bookmarkEnd w:id="26"/>
    </w:p>
    <w:p>
      <w:pPr>
        <w:pStyle w:val="9"/>
        <w:pageBreakBefore w:val="0"/>
        <w:widowControl w:val="0"/>
        <w:kinsoku/>
        <w:wordWrap/>
        <w:overflowPunct/>
        <w:topLinePunct w:val="0"/>
        <w:bidi w:val="0"/>
        <w:spacing w:line="360" w:lineRule="auto"/>
        <w:ind w:left="0" w:leftChars="0" w:right="0" w:rightChars="0"/>
        <w:textAlignment w:val="auto"/>
      </w:pPr>
      <w:r>
        <w:t xml:space="preserve">    2.1</w:t>
      </w:r>
      <w:r>
        <w:rPr>
          <w:rFonts w:hint="eastAsia"/>
        </w:rPr>
        <w:t>“采购人”是指：</w:t>
      </w:r>
      <w:r>
        <w:rPr>
          <w:rFonts w:hint="eastAsia"/>
          <w:b/>
          <w:bCs/>
        </w:rPr>
        <w:t>湖北十堰职业技术（集团）学校；</w:t>
      </w:r>
    </w:p>
    <w:p>
      <w:pPr>
        <w:pStyle w:val="9"/>
        <w:pageBreakBefore w:val="0"/>
        <w:widowControl w:val="0"/>
        <w:kinsoku/>
        <w:wordWrap/>
        <w:overflowPunct/>
        <w:topLinePunct w:val="0"/>
        <w:bidi w:val="0"/>
        <w:spacing w:line="360" w:lineRule="auto"/>
        <w:ind w:left="0" w:leftChars="0" w:right="0" w:rightChars="0"/>
        <w:textAlignment w:val="auto"/>
      </w:pPr>
      <w:r>
        <w:t xml:space="preserve">    2.</w:t>
      </w:r>
      <w:r>
        <w:rPr>
          <w:rFonts w:hint="eastAsia"/>
          <w:lang w:val="en-US" w:eastAsia="zh-CN"/>
        </w:rPr>
        <w:t>2</w:t>
      </w:r>
      <w:r>
        <w:rPr>
          <w:rFonts w:hint="eastAsia"/>
        </w:rPr>
        <w:t>合格的供应商：符合竞争性磋商公告第</w:t>
      </w:r>
      <w:r>
        <w:rPr>
          <w:rFonts w:hint="eastAsia"/>
          <w:lang w:val="en-US" w:eastAsia="zh-CN"/>
        </w:rPr>
        <w:t>五</w:t>
      </w:r>
      <w:r>
        <w:rPr>
          <w:rFonts w:hint="eastAsia"/>
        </w:rPr>
        <w:t>条供应商资格条件的要求；</w:t>
      </w:r>
    </w:p>
    <w:p>
      <w:pPr>
        <w:pStyle w:val="9"/>
        <w:pageBreakBefore w:val="0"/>
        <w:widowControl w:val="0"/>
        <w:kinsoku/>
        <w:wordWrap/>
        <w:overflowPunct/>
        <w:topLinePunct w:val="0"/>
        <w:bidi w:val="0"/>
        <w:spacing w:line="360" w:lineRule="auto"/>
        <w:ind w:left="0" w:leftChars="0" w:right="0" w:rightChars="0" w:firstLine="480"/>
        <w:textAlignment w:val="auto"/>
      </w:pPr>
      <w:r>
        <w:t>2.</w:t>
      </w:r>
      <w:r>
        <w:rPr>
          <w:rFonts w:hint="eastAsia"/>
          <w:lang w:val="en-US" w:eastAsia="zh-CN"/>
        </w:rPr>
        <w:t>3</w:t>
      </w:r>
      <w:r>
        <w:rPr>
          <w:rFonts w:hint="eastAsia"/>
        </w:rPr>
        <w:t>“</w:t>
      </w:r>
      <w:r>
        <w:rPr>
          <w:rFonts w:hint="eastAsia"/>
          <w:lang w:val="en-US"/>
        </w:rPr>
        <w:t>成交供应商</w:t>
      </w:r>
      <w:r>
        <w:rPr>
          <w:rFonts w:hint="eastAsia"/>
        </w:rPr>
        <w:t>”是指经评标委员会评审，授予合同的供应商；</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33" w:name="_Toc16642_WPSOffice_Level2"/>
      <w:bookmarkStart w:id="34" w:name="_Toc20250_WPSOffice_Level2"/>
      <w:bookmarkStart w:id="35" w:name="_Toc447024819"/>
      <w:bookmarkStart w:id="36" w:name="_Toc467587308"/>
      <w:r>
        <w:rPr>
          <w:b/>
          <w:bCs/>
          <w:lang w:val="en-US"/>
        </w:rPr>
        <w:t>3</w:t>
      </w:r>
      <w:r>
        <w:rPr>
          <w:rFonts w:hint="eastAsia"/>
          <w:b/>
          <w:bCs/>
          <w:lang w:val="en-US"/>
        </w:rPr>
        <w:t>、</w:t>
      </w:r>
      <w:r>
        <w:rPr>
          <w:rFonts w:hint="eastAsia"/>
          <w:b/>
          <w:bCs/>
        </w:rPr>
        <w:t>工程、货物及服务</w:t>
      </w:r>
      <w:bookmarkEnd w:id="27"/>
      <w:bookmarkEnd w:id="28"/>
      <w:bookmarkEnd w:id="29"/>
      <w:bookmarkEnd w:id="30"/>
      <w:bookmarkEnd w:id="31"/>
      <w:bookmarkEnd w:id="32"/>
      <w:bookmarkEnd w:id="33"/>
      <w:bookmarkEnd w:id="34"/>
      <w:bookmarkEnd w:id="35"/>
      <w:bookmarkEnd w:id="36"/>
    </w:p>
    <w:p>
      <w:pPr>
        <w:pStyle w:val="9"/>
        <w:pageBreakBefore w:val="0"/>
        <w:widowControl w:val="0"/>
        <w:kinsoku/>
        <w:wordWrap/>
        <w:overflowPunct/>
        <w:topLinePunct w:val="0"/>
        <w:bidi w:val="0"/>
        <w:spacing w:line="360" w:lineRule="auto"/>
        <w:ind w:left="0" w:leftChars="0" w:right="0" w:rightChars="0" w:firstLine="480" w:firstLineChars="200"/>
        <w:textAlignment w:val="auto"/>
      </w:pPr>
      <w:r>
        <w:t>3.1</w:t>
      </w:r>
      <w:r>
        <w:rPr>
          <w:rFonts w:hint="eastAsia"/>
        </w:rPr>
        <w:t>“工程”是指建设工程，包括建筑物和构筑物的新建、改建、扩建及其相关的装修、拆除、修缮等；</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3.2</w:t>
      </w:r>
      <w:r>
        <w:rPr>
          <w:rFonts w:hint="eastAsia"/>
        </w:rPr>
        <w:t>“货物”是指各种形态和种类的物品，包括原材料、燃料、设备、产品等；</w:t>
      </w:r>
    </w:p>
    <w:p>
      <w:pPr>
        <w:pStyle w:val="9"/>
        <w:pageBreakBefore w:val="0"/>
        <w:widowControl w:val="0"/>
        <w:kinsoku/>
        <w:wordWrap/>
        <w:overflowPunct/>
        <w:topLinePunct w:val="0"/>
        <w:bidi w:val="0"/>
        <w:spacing w:line="360" w:lineRule="auto"/>
        <w:ind w:left="0" w:leftChars="0" w:right="0" w:rightChars="0"/>
        <w:textAlignment w:val="auto"/>
      </w:pPr>
      <w:r>
        <w:t xml:space="preserve">    3.3</w:t>
      </w:r>
      <w:r>
        <w:rPr>
          <w:rFonts w:hint="eastAsia"/>
        </w:rPr>
        <w:t>“服务”是指是指除货物（指各种形态和种类的物品，包括原材料、燃料、设备、产品等）和工程（指建设工程，包括建筑物和构筑物的新建、改建、扩建及其相关的装修、拆除、修缮等）以外的其他政府采购对象</w:t>
      </w:r>
      <w:bookmarkStart w:id="37" w:name="_Toc85"/>
      <w:bookmarkStart w:id="38" w:name="_Toc13847"/>
      <w:bookmarkStart w:id="39" w:name="_Toc25127"/>
      <w:bookmarkStart w:id="40" w:name="_Toc26682"/>
      <w:bookmarkStart w:id="41" w:name="_Toc446599879"/>
      <w:bookmarkStart w:id="42" w:name="_Toc447024820"/>
      <w:bookmarkStart w:id="43" w:name="_Toc32196"/>
      <w:r>
        <w:rPr>
          <w:rFonts w:hint="eastAsia"/>
        </w:rPr>
        <w:t>；</w:t>
      </w:r>
    </w:p>
    <w:p>
      <w:pPr>
        <w:pStyle w:val="9"/>
        <w:pageBreakBefore w:val="0"/>
        <w:widowControl w:val="0"/>
        <w:kinsoku/>
        <w:wordWrap/>
        <w:overflowPunct/>
        <w:topLinePunct w:val="0"/>
        <w:bidi w:val="0"/>
        <w:spacing w:line="360" w:lineRule="auto"/>
        <w:ind w:left="0" w:leftChars="0" w:right="0" w:rightChars="0"/>
        <w:textAlignment w:val="auto"/>
        <w:outlineLvl w:val="1"/>
      </w:pPr>
      <w:bookmarkStart w:id="44" w:name="_Toc6399_WPSOffice_Level2"/>
      <w:bookmarkStart w:id="45" w:name="_Toc1171_WPSOffice_Level2"/>
      <w:r>
        <w:rPr>
          <w:b/>
          <w:bCs/>
        </w:rPr>
        <w:t>4</w:t>
      </w:r>
      <w:r>
        <w:rPr>
          <w:rFonts w:hint="eastAsia"/>
          <w:b/>
          <w:bCs/>
        </w:rPr>
        <w:t>、费用</w:t>
      </w:r>
      <w:bookmarkEnd w:id="37"/>
      <w:bookmarkEnd w:id="38"/>
      <w:bookmarkEnd w:id="39"/>
      <w:bookmarkEnd w:id="40"/>
      <w:bookmarkEnd w:id="41"/>
      <w:bookmarkEnd w:id="42"/>
      <w:bookmarkEnd w:id="43"/>
      <w:bookmarkEnd w:id="44"/>
      <w:bookmarkEnd w:id="45"/>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bookmarkStart w:id="46" w:name="_Toc446599880"/>
      <w:bookmarkStart w:id="47" w:name="_Toc447024821"/>
      <w:bookmarkStart w:id="48" w:name="_Toc11338"/>
      <w:r>
        <w:t xml:space="preserve">4.1 </w:t>
      </w:r>
      <w:r>
        <w:rPr>
          <w:rFonts w:hint="eastAsia"/>
        </w:rPr>
        <w:t>磋商供应商应自行承担所有与编写和提交响应文件有关的费用，不论磋商结果如何，采</w:t>
      </w:r>
      <w:r>
        <w:rPr>
          <w:rFonts w:hint="eastAsia"/>
          <w:color w:val="000000" w:themeColor="text1"/>
          <w14:textFill>
            <w14:solidFill>
              <w14:schemeClr w14:val="tx1"/>
            </w14:solidFill>
          </w14:textFill>
        </w:rPr>
        <w:t>购人在任何情况下无义务和责任承担此类费用；</w:t>
      </w:r>
    </w:p>
    <w:bookmarkEnd w:id="46"/>
    <w:bookmarkEnd w:id="47"/>
    <w:bookmarkEnd w:id="48"/>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49" w:name="_Toc5599"/>
      <w:bookmarkStart w:id="50" w:name="_Toc12941"/>
      <w:bookmarkStart w:id="51" w:name="_Toc15425_WPSOffice_Level2"/>
      <w:bookmarkStart w:id="52" w:name="_Toc447024822"/>
      <w:bookmarkStart w:id="53" w:name="_Toc446599881"/>
      <w:bookmarkStart w:id="54" w:name="_Toc8965"/>
      <w:bookmarkStart w:id="55" w:name="_Toc21511_WPSOffice_Level2"/>
      <w:bookmarkStart w:id="56" w:name="_Toc11090"/>
      <w:bookmarkStart w:id="57" w:name="_Toc467587310"/>
      <w:bookmarkStart w:id="58" w:name="_Toc27794"/>
      <w:r>
        <w:rPr>
          <w:b/>
          <w:bCs/>
        </w:rPr>
        <w:t>5</w:t>
      </w:r>
      <w:r>
        <w:rPr>
          <w:rFonts w:hint="eastAsia"/>
          <w:b/>
          <w:bCs/>
        </w:rPr>
        <w:t>、竞争性磋商文件的构成</w:t>
      </w:r>
      <w:bookmarkEnd w:id="49"/>
      <w:bookmarkEnd w:id="50"/>
      <w:bookmarkEnd w:id="51"/>
      <w:bookmarkEnd w:id="52"/>
      <w:bookmarkEnd w:id="53"/>
      <w:bookmarkEnd w:id="54"/>
      <w:bookmarkEnd w:id="55"/>
      <w:bookmarkEnd w:id="56"/>
      <w:bookmarkEnd w:id="57"/>
      <w:bookmarkEnd w:id="58"/>
    </w:p>
    <w:p>
      <w:pPr>
        <w:pStyle w:val="9"/>
        <w:pageBreakBefore w:val="0"/>
        <w:widowControl w:val="0"/>
        <w:kinsoku/>
        <w:wordWrap/>
        <w:overflowPunct/>
        <w:topLinePunct w:val="0"/>
        <w:bidi w:val="0"/>
        <w:spacing w:line="360" w:lineRule="auto"/>
        <w:ind w:left="0" w:leftChars="0" w:right="0" w:rightChars="0"/>
        <w:textAlignment w:val="auto"/>
      </w:pPr>
      <w:r>
        <w:t xml:space="preserve">    1</w:t>
      </w:r>
      <w:r>
        <w:rPr>
          <w:rFonts w:hint="eastAsia"/>
        </w:rPr>
        <w:t>）磋商公告</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2</w:t>
      </w:r>
      <w:r>
        <w:rPr>
          <w:rFonts w:hint="eastAsia"/>
        </w:rPr>
        <w:t>）磋商须知</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lang w:val="en-US"/>
        </w:rPr>
      </w:pPr>
      <w:r>
        <w:rPr>
          <w:lang w:val="en-US"/>
        </w:rPr>
        <w:t xml:space="preserve">3) </w:t>
      </w:r>
      <w:r>
        <w:rPr>
          <w:rFonts w:hint="eastAsia"/>
          <w:lang w:val="en-US"/>
        </w:rPr>
        <w:t>采购项目需求及技术参数</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lang w:val="en-US"/>
        </w:rPr>
        <w:t>4</w:t>
      </w:r>
      <w:r>
        <w:rPr>
          <w:rFonts w:hint="eastAsia"/>
        </w:rPr>
        <w:t>）竞争性磋商采购评定办法</w:t>
      </w:r>
    </w:p>
    <w:p>
      <w:pPr>
        <w:pStyle w:val="9"/>
        <w:pageBreakBefore w:val="0"/>
        <w:widowControl w:val="0"/>
        <w:kinsoku/>
        <w:wordWrap/>
        <w:overflowPunct/>
        <w:topLinePunct w:val="0"/>
        <w:bidi w:val="0"/>
        <w:spacing w:line="360" w:lineRule="auto"/>
        <w:ind w:left="0" w:leftChars="0" w:right="0" w:rightChars="0"/>
        <w:textAlignment w:val="auto"/>
      </w:pPr>
      <w:r>
        <w:t xml:space="preserve">    </w:t>
      </w:r>
      <w:r>
        <w:rPr>
          <w:rFonts w:hint="eastAsia"/>
          <w:lang w:val="en-US" w:eastAsia="zh-CN"/>
        </w:rPr>
        <w:t>5</w:t>
      </w:r>
      <w:r>
        <w:rPr>
          <w:rFonts w:hint="eastAsia"/>
        </w:rPr>
        <w:t>）竞争性磋商响应文件格式（仅供参考）</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59" w:name="_Toc7789"/>
      <w:bookmarkStart w:id="60" w:name="_Toc9303"/>
      <w:bookmarkStart w:id="61" w:name="_Toc446599882"/>
      <w:bookmarkStart w:id="62" w:name="_Toc30582_WPSOffice_Level2"/>
      <w:bookmarkStart w:id="63" w:name="_Toc15260"/>
      <w:bookmarkStart w:id="64" w:name="_Toc467587311"/>
      <w:bookmarkStart w:id="65" w:name="_Toc13694"/>
      <w:bookmarkStart w:id="66" w:name="_Toc29000_WPSOffice_Level2"/>
      <w:bookmarkStart w:id="67" w:name="_Toc4846"/>
      <w:bookmarkStart w:id="68" w:name="_Toc447024823"/>
      <w:r>
        <w:rPr>
          <w:b/>
          <w:bCs/>
        </w:rPr>
        <w:t>6</w:t>
      </w:r>
      <w:r>
        <w:rPr>
          <w:rFonts w:hint="eastAsia"/>
          <w:b/>
          <w:bCs/>
        </w:rPr>
        <w:t>、竞争性磋商文件的澄清</w:t>
      </w:r>
      <w:bookmarkEnd w:id="59"/>
      <w:bookmarkEnd w:id="60"/>
      <w:bookmarkEnd w:id="61"/>
      <w:bookmarkEnd w:id="62"/>
      <w:bookmarkEnd w:id="63"/>
      <w:bookmarkEnd w:id="64"/>
      <w:bookmarkEnd w:id="65"/>
      <w:bookmarkEnd w:id="66"/>
      <w:bookmarkEnd w:id="67"/>
      <w:bookmarkEnd w:id="68"/>
    </w:p>
    <w:p>
      <w:pPr>
        <w:pStyle w:val="9"/>
        <w:pageBreakBefore w:val="0"/>
        <w:widowControl w:val="0"/>
        <w:kinsoku/>
        <w:wordWrap/>
        <w:overflowPunct/>
        <w:topLinePunct w:val="0"/>
        <w:bidi w:val="0"/>
        <w:spacing w:line="360" w:lineRule="auto"/>
        <w:ind w:left="0" w:leftChars="0" w:right="0" w:rightChars="0"/>
        <w:textAlignment w:val="auto"/>
      </w:pPr>
      <w:bookmarkStart w:id="69" w:name="_Toc15576"/>
      <w:bookmarkStart w:id="70" w:name="_Toc15537"/>
      <w:bookmarkStart w:id="71" w:name="_Toc21791"/>
      <w:bookmarkStart w:id="72" w:name="_Toc10204"/>
      <w:bookmarkStart w:id="73" w:name="_Toc12398"/>
      <w:bookmarkStart w:id="74" w:name="_Toc446599883"/>
      <w:r>
        <w:t xml:space="preserve">    6.1</w:t>
      </w:r>
      <w:r>
        <w:rPr>
          <w:rFonts w:hint="eastAsia"/>
        </w:rPr>
        <w:t>任何要求对磋商文件进行澄清的供应商，均应以书面形式（书面原件、由供应商法人代表签字并加盖供应商公章）用邮寄或专人递交的方式交给采购人或采购代理机构；采购代理机构或采购人对供应商所要求澄清的内容均以书面形式予以答复；必要时，采购代理机构将组织相关专家召开答疑会，并将会议内容以书面的形式发给每个购买磋商文件的潜在供应商</w:t>
      </w:r>
      <w:r>
        <w:t>(</w:t>
      </w:r>
      <w:r>
        <w:rPr>
          <w:rFonts w:hint="eastAsia"/>
        </w:rPr>
        <w:t>答复中不包括问题的来源</w:t>
      </w:r>
      <w:r>
        <w:t>)</w:t>
      </w:r>
      <w:r>
        <w:rPr>
          <w:rFonts w:hint="eastAsia"/>
        </w:rPr>
        <w:t>；</w:t>
      </w:r>
    </w:p>
    <w:p>
      <w:pPr>
        <w:pStyle w:val="9"/>
        <w:pageBreakBefore w:val="0"/>
        <w:widowControl w:val="0"/>
        <w:kinsoku/>
        <w:wordWrap/>
        <w:overflowPunct/>
        <w:topLinePunct w:val="0"/>
        <w:bidi w:val="0"/>
        <w:spacing w:line="360" w:lineRule="auto"/>
        <w:ind w:left="0" w:leftChars="0" w:right="0" w:rightChars="0"/>
        <w:textAlignment w:val="auto"/>
      </w:pPr>
      <w:r>
        <w:t xml:space="preserve">    6.2</w:t>
      </w:r>
      <w:r>
        <w:rPr>
          <w:rFonts w:hint="eastAsia"/>
        </w:rPr>
        <w:t>供应商在规定的时间内未对磋商文件提出澄清的，采购代理机构将视其为同意；</w:t>
      </w:r>
    </w:p>
    <w:p>
      <w:pPr>
        <w:pStyle w:val="9"/>
        <w:pageBreakBefore w:val="0"/>
        <w:widowControl w:val="0"/>
        <w:kinsoku/>
        <w:wordWrap/>
        <w:overflowPunct/>
        <w:topLinePunct w:val="0"/>
        <w:bidi w:val="0"/>
        <w:spacing w:line="360" w:lineRule="auto"/>
        <w:ind w:left="0" w:leftChars="0" w:right="0" w:rightChars="0"/>
        <w:textAlignment w:val="auto"/>
        <w:outlineLvl w:val="1"/>
      </w:pPr>
      <w:bookmarkStart w:id="75" w:name="_Toc21612_WPSOffice_Level2"/>
      <w:bookmarkStart w:id="76" w:name="_Toc447024824"/>
      <w:bookmarkStart w:id="77" w:name="_Toc467587312"/>
      <w:bookmarkStart w:id="78" w:name="_Toc29570_WPSOffice_Level2"/>
      <w:r>
        <w:rPr>
          <w:b/>
          <w:bCs/>
        </w:rPr>
        <w:t>7</w:t>
      </w:r>
      <w:r>
        <w:rPr>
          <w:rFonts w:hint="eastAsia"/>
          <w:b/>
          <w:bCs/>
        </w:rPr>
        <w:t>、竞争性磋商文件的修改</w:t>
      </w:r>
      <w:bookmarkEnd w:id="69"/>
      <w:bookmarkEnd w:id="70"/>
      <w:bookmarkEnd w:id="71"/>
      <w:bookmarkEnd w:id="72"/>
      <w:bookmarkEnd w:id="73"/>
      <w:bookmarkEnd w:id="74"/>
      <w:bookmarkEnd w:id="75"/>
      <w:bookmarkEnd w:id="76"/>
      <w:bookmarkEnd w:id="77"/>
      <w:bookmarkEnd w:id="78"/>
      <w:bookmarkStart w:id="79" w:name="_Toc446599884"/>
      <w:bookmarkStart w:id="80" w:name="_Toc14180"/>
    </w:p>
    <w:p>
      <w:pPr>
        <w:pStyle w:val="9"/>
        <w:pageBreakBefore w:val="0"/>
        <w:widowControl w:val="0"/>
        <w:kinsoku/>
        <w:wordWrap/>
        <w:overflowPunct/>
        <w:topLinePunct w:val="0"/>
        <w:bidi w:val="0"/>
        <w:spacing w:line="360" w:lineRule="auto"/>
        <w:ind w:left="0" w:leftChars="0" w:right="0" w:rightChars="0"/>
        <w:textAlignment w:val="auto"/>
      </w:pPr>
      <w:r>
        <w:t xml:space="preserve">    7.</w:t>
      </w:r>
      <w:r>
        <w:rPr>
          <w:rFonts w:hint="eastAsia"/>
          <w:lang w:val="en-US" w:eastAsia="zh-CN"/>
        </w:rPr>
        <w:t>1</w:t>
      </w:r>
      <w:r>
        <w:rPr>
          <w:rFonts w:hint="eastAsia"/>
        </w:rPr>
        <w:t>修改后的内容是磋商文件的组成部分，将以书面形式通知所有购买磋商文件的供应商，并对供应商具有约束力；供应商在收到上述通知后，应立即以书面形式向采购代理机构或采购人确认；</w:t>
      </w:r>
    </w:p>
    <w:p>
      <w:pPr>
        <w:pStyle w:val="9"/>
        <w:pageBreakBefore w:val="0"/>
        <w:widowControl w:val="0"/>
        <w:kinsoku/>
        <w:wordWrap/>
        <w:overflowPunct/>
        <w:topLinePunct w:val="0"/>
        <w:bidi w:val="0"/>
        <w:spacing w:line="360" w:lineRule="auto"/>
        <w:ind w:left="0" w:leftChars="0" w:right="0" w:rightChars="0"/>
        <w:textAlignment w:val="auto"/>
      </w:pPr>
      <w:r>
        <w:t xml:space="preserve">    7.</w:t>
      </w:r>
      <w:r>
        <w:rPr>
          <w:rFonts w:hint="eastAsia"/>
          <w:lang w:val="en-US" w:eastAsia="zh-CN"/>
        </w:rPr>
        <w:t>2</w:t>
      </w:r>
      <w:r>
        <w:rPr>
          <w:rFonts w:hint="eastAsia"/>
        </w:rPr>
        <w:t>为使供应商准备磋商时有充足时间对磋商文件的修改部分迸行研究，采购代理机构或采购人可适当推迟磋商时间，并书面通知所有购买磋商文件的供应商；</w:t>
      </w:r>
    </w:p>
    <w:bookmarkEnd w:id="79"/>
    <w:bookmarkEnd w:id="80"/>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81" w:name="_Toc20143"/>
      <w:bookmarkStart w:id="82" w:name="_Toc24710_WPSOffice_Level2"/>
      <w:bookmarkStart w:id="83" w:name="_Toc14769"/>
      <w:bookmarkStart w:id="84" w:name="_Toc446599885"/>
      <w:bookmarkStart w:id="85" w:name="_Toc467587314"/>
      <w:bookmarkStart w:id="86" w:name="_Toc447024826"/>
      <w:bookmarkStart w:id="87" w:name="_Toc12660"/>
      <w:bookmarkStart w:id="88" w:name="_Toc2682"/>
      <w:bookmarkStart w:id="89" w:name="_Toc8457_WPSOffice_Level2"/>
      <w:bookmarkStart w:id="90" w:name="_Toc7212"/>
      <w:r>
        <w:rPr>
          <w:b/>
          <w:bCs/>
        </w:rPr>
        <w:t>8</w:t>
      </w:r>
      <w:r>
        <w:rPr>
          <w:rFonts w:hint="eastAsia"/>
          <w:b/>
          <w:bCs/>
        </w:rPr>
        <w:t>、语言和计量单位</w:t>
      </w:r>
      <w:bookmarkEnd w:id="81"/>
      <w:bookmarkEnd w:id="82"/>
      <w:bookmarkEnd w:id="83"/>
      <w:bookmarkEnd w:id="84"/>
      <w:bookmarkEnd w:id="85"/>
      <w:bookmarkEnd w:id="86"/>
      <w:bookmarkEnd w:id="87"/>
      <w:bookmarkEnd w:id="88"/>
      <w:bookmarkEnd w:id="89"/>
      <w:bookmarkEnd w:id="90"/>
    </w:p>
    <w:p>
      <w:pPr>
        <w:pStyle w:val="9"/>
        <w:pageBreakBefore w:val="0"/>
        <w:widowControl w:val="0"/>
        <w:kinsoku/>
        <w:wordWrap/>
        <w:overflowPunct/>
        <w:topLinePunct w:val="0"/>
        <w:bidi w:val="0"/>
        <w:spacing w:line="360" w:lineRule="auto"/>
        <w:ind w:left="0" w:leftChars="0" w:right="0" w:rightChars="0"/>
        <w:textAlignment w:val="auto"/>
      </w:pPr>
      <w:r>
        <w:t xml:space="preserve">    8.1</w:t>
      </w:r>
      <w:r>
        <w:rPr>
          <w:rFonts w:hint="eastAsia"/>
        </w:rPr>
        <w:t>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pPr>
        <w:pStyle w:val="9"/>
        <w:pageBreakBefore w:val="0"/>
        <w:widowControl w:val="0"/>
        <w:kinsoku/>
        <w:wordWrap/>
        <w:overflowPunct/>
        <w:topLinePunct w:val="0"/>
        <w:bidi w:val="0"/>
        <w:spacing w:line="360" w:lineRule="auto"/>
        <w:ind w:left="0" w:leftChars="0" w:right="0" w:rightChars="0"/>
        <w:textAlignment w:val="auto"/>
      </w:pPr>
      <w:r>
        <w:t xml:space="preserve">    8.2</w:t>
      </w:r>
      <w:r>
        <w:rPr>
          <w:rFonts w:hint="eastAsia"/>
        </w:rPr>
        <w:t>除非竞争性磋商文件中另有规定，计量单位均采用中华人民共和国法定的计量单位；</w:t>
      </w:r>
    </w:p>
    <w:p>
      <w:pPr>
        <w:pStyle w:val="9"/>
        <w:pageBreakBefore w:val="0"/>
        <w:widowControl w:val="0"/>
        <w:numPr>
          <w:ilvl w:val="0"/>
          <w:numId w:val="1"/>
        </w:numPr>
        <w:kinsoku/>
        <w:wordWrap/>
        <w:overflowPunct/>
        <w:topLinePunct w:val="0"/>
        <w:bidi w:val="0"/>
        <w:spacing w:line="360" w:lineRule="auto"/>
        <w:ind w:left="0" w:leftChars="0" w:right="0" w:rightChars="0"/>
        <w:textAlignment w:val="auto"/>
        <w:outlineLvl w:val="1"/>
        <w:rPr>
          <w:b/>
          <w:bCs/>
        </w:rPr>
      </w:pPr>
      <w:bookmarkStart w:id="91" w:name="_Toc12368"/>
      <w:bookmarkStart w:id="92" w:name="_Toc12029"/>
      <w:bookmarkStart w:id="93" w:name="_Toc31084_WPSOffice_Level2"/>
      <w:bookmarkStart w:id="94" w:name="_Toc8964_WPSOffice_Level2"/>
      <w:bookmarkStart w:id="95" w:name="_Toc467587315"/>
      <w:bookmarkStart w:id="96" w:name="_Toc447024827"/>
      <w:bookmarkStart w:id="97" w:name="_Toc1193"/>
      <w:bookmarkStart w:id="98" w:name="_Toc3395"/>
      <w:bookmarkStart w:id="99" w:name="_Toc10866"/>
      <w:bookmarkStart w:id="100" w:name="_Toc446599886"/>
      <w:r>
        <w:rPr>
          <w:rFonts w:hint="eastAsia"/>
          <w:b/>
          <w:bCs/>
        </w:rPr>
        <w:t>竞争性磋商响应文件的构成</w:t>
      </w:r>
      <w:bookmarkEnd w:id="91"/>
      <w:bookmarkEnd w:id="92"/>
      <w:bookmarkEnd w:id="93"/>
      <w:bookmarkEnd w:id="94"/>
      <w:bookmarkEnd w:id="95"/>
      <w:bookmarkEnd w:id="96"/>
      <w:bookmarkEnd w:id="97"/>
      <w:bookmarkEnd w:id="98"/>
      <w:bookmarkEnd w:id="99"/>
      <w:bookmarkEnd w:id="100"/>
    </w:p>
    <w:p>
      <w:pPr>
        <w:pStyle w:val="9"/>
        <w:pageBreakBefore w:val="0"/>
        <w:widowControl w:val="0"/>
        <w:kinsoku/>
        <w:wordWrap/>
        <w:overflowPunct/>
        <w:topLinePunct w:val="0"/>
        <w:bidi w:val="0"/>
        <w:spacing w:line="360" w:lineRule="auto"/>
        <w:ind w:left="0" w:leftChars="0" w:right="0" w:rightChars="0"/>
        <w:textAlignment w:val="auto"/>
        <w:rPr>
          <w:lang w:val="en-US"/>
        </w:rPr>
      </w:pPr>
      <w:r>
        <w:rPr>
          <w:lang w:val="en-US"/>
        </w:rPr>
        <w:t xml:space="preserve">  9.1</w:t>
      </w:r>
      <w:r>
        <w:rPr>
          <w:rFonts w:hint="eastAsia"/>
          <w:lang w:val="en-US"/>
        </w:rPr>
        <w:t>竞争性磋商响应文件包括下列内容：</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lang w:val="en-US"/>
        </w:rPr>
      </w:pPr>
      <w:r>
        <w:rPr>
          <w:rFonts w:hint="eastAsia"/>
          <w:color w:val="000000"/>
          <w:lang w:val="en-US"/>
        </w:rPr>
        <w:t>（一）价格部分；</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lang w:val="en-US"/>
        </w:rPr>
      </w:pPr>
      <w:r>
        <w:rPr>
          <w:rFonts w:hint="eastAsia"/>
          <w:color w:val="000000"/>
          <w:lang w:val="en-US"/>
        </w:rPr>
        <w:t>（二）技术部分；</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lang w:val="en-US"/>
        </w:rPr>
      </w:pPr>
      <w:r>
        <w:rPr>
          <w:rFonts w:hint="eastAsia"/>
          <w:color w:val="000000"/>
          <w:lang w:val="en-US"/>
        </w:rPr>
        <w:t>（三）商务部分；</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lang w:val="en-US"/>
        </w:rPr>
      </w:pPr>
      <w:r>
        <w:rPr>
          <w:rFonts w:hint="eastAsia"/>
          <w:color w:val="000000"/>
          <w:lang w:val="en-US"/>
        </w:rPr>
        <w:t>对竞争性磋商文件的响应程度及优惠条件相关资料</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lang w:val="en-US"/>
        </w:rPr>
      </w:pPr>
      <w:r>
        <w:rPr>
          <w:rFonts w:hint="eastAsia"/>
          <w:color w:val="000000"/>
          <w:lang w:val="en-US"/>
        </w:rPr>
        <w:t>其他相关资料</w:t>
      </w:r>
      <w:r>
        <w:rPr>
          <w:color w:val="000000"/>
          <w:lang w:val="en-US"/>
        </w:rPr>
        <w:t xml:space="preserve">      </w:t>
      </w:r>
    </w:p>
    <w:p>
      <w:pPr>
        <w:pStyle w:val="9"/>
        <w:pageBreakBefore w:val="0"/>
        <w:widowControl w:val="0"/>
        <w:kinsoku/>
        <w:wordWrap/>
        <w:overflowPunct/>
        <w:topLinePunct w:val="0"/>
        <w:bidi w:val="0"/>
        <w:spacing w:line="360" w:lineRule="auto"/>
        <w:ind w:left="0" w:leftChars="0" w:right="0" w:rightChars="0" w:firstLine="482" w:firstLineChars="200"/>
        <w:textAlignment w:val="auto"/>
        <w:rPr>
          <w:b/>
          <w:bCs/>
        </w:rPr>
      </w:pPr>
      <w:r>
        <w:rPr>
          <w:rFonts w:hint="eastAsia"/>
          <w:b/>
          <w:bCs/>
          <w:color w:val="000000"/>
        </w:rPr>
        <w:t>磋商供应商认为应该提交的其它文件</w:t>
      </w:r>
      <w:r>
        <w:rPr>
          <w:rFonts w:hint="eastAsia"/>
          <w:b/>
          <w:bCs/>
        </w:rPr>
        <w:t>（格式自拟）</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101" w:name="_Toc17559_WPSOffice_Level2"/>
      <w:bookmarkStart w:id="102" w:name="_Toc23412"/>
      <w:bookmarkStart w:id="103" w:name="_Toc18380_WPSOffice_Level2"/>
      <w:bookmarkStart w:id="104" w:name="_Toc6812"/>
      <w:bookmarkStart w:id="105" w:name="_Toc447024828"/>
      <w:bookmarkStart w:id="106" w:name="_Toc446599887"/>
      <w:bookmarkStart w:id="107" w:name="_Toc16830"/>
      <w:bookmarkStart w:id="108" w:name="_Toc30611"/>
      <w:bookmarkStart w:id="109" w:name="_Toc467587316"/>
      <w:bookmarkStart w:id="110" w:name="_Toc1603"/>
      <w:r>
        <w:rPr>
          <w:b/>
          <w:bCs/>
        </w:rPr>
        <w:t>10</w:t>
      </w:r>
      <w:r>
        <w:rPr>
          <w:rFonts w:hint="eastAsia"/>
          <w:b/>
          <w:bCs/>
        </w:rPr>
        <w:t>、竞争性磋商响应文件的编制</w:t>
      </w:r>
      <w:bookmarkEnd w:id="101"/>
      <w:bookmarkEnd w:id="102"/>
      <w:bookmarkEnd w:id="103"/>
      <w:bookmarkEnd w:id="104"/>
      <w:bookmarkEnd w:id="105"/>
      <w:bookmarkEnd w:id="106"/>
      <w:bookmarkEnd w:id="107"/>
      <w:bookmarkEnd w:id="108"/>
      <w:bookmarkEnd w:id="109"/>
      <w:bookmarkEnd w:id="110"/>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10.1</w:t>
      </w:r>
      <w:r>
        <w:rPr>
          <w:rFonts w:hint="eastAsia"/>
        </w:rPr>
        <w:t>供应商应当按照本采购文件的要求编制响应文件，并对其提交的响应文件及全部资料的真实性、合法性承担法律责任，并接受采购代理机构对其中任何资料进一步核实的要求；</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10.2</w:t>
      </w:r>
      <w:r>
        <w:rPr>
          <w:rFonts w:hint="eastAsia"/>
        </w:rPr>
        <w:t>供应商应认真阅读本采购文件中的所有内容，并对本采购文件提出的要求和条件作出实质性响应；如供应商没有按照本采购文件的要求提交全部资料，或者没有对本采购文件在各方面都做出实质性响应的，其响应文件将被视为无效文件；</w:t>
      </w:r>
      <w:r>
        <w:t xml:space="preserve"> </w:t>
      </w:r>
      <w:bookmarkStart w:id="111" w:name="_Toc28185"/>
      <w:bookmarkStart w:id="112" w:name="_Toc8668"/>
      <w:bookmarkStart w:id="113" w:name="_Toc446599888"/>
      <w:bookmarkStart w:id="114" w:name="_Toc14196"/>
      <w:bookmarkStart w:id="115" w:name="_Toc6883"/>
      <w:bookmarkStart w:id="116" w:name="_Toc25210"/>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117" w:name="_Toc467587317"/>
      <w:bookmarkStart w:id="118" w:name="_Toc447024829"/>
      <w:bookmarkStart w:id="119" w:name="_Toc16501_WPSOffice_Level2"/>
      <w:bookmarkStart w:id="120" w:name="_Toc29374_WPSOffice_Level2"/>
      <w:r>
        <w:rPr>
          <w:b/>
          <w:bCs/>
        </w:rPr>
        <w:t>11</w:t>
      </w:r>
      <w:r>
        <w:rPr>
          <w:rFonts w:hint="eastAsia"/>
          <w:b/>
          <w:bCs/>
        </w:rPr>
        <w:t>、磋商报价</w:t>
      </w:r>
      <w:bookmarkEnd w:id="111"/>
      <w:bookmarkEnd w:id="112"/>
      <w:bookmarkEnd w:id="113"/>
      <w:bookmarkEnd w:id="114"/>
      <w:bookmarkEnd w:id="115"/>
      <w:bookmarkEnd w:id="116"/>
      <w:bookmarkEnd w:id="117"/>
      <w:bookmarkEnd w:id="118"/>
      <w:bookmarkEnd w:id="119"/>
      <w:bookmarkEnd w:id="120"/>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11.1</w:t>
      </w:r>
      <w:r>
        <w:rPr>
          <w:rFonts w:hint="eastAsia"/>
        </w:rPr>
        <w:t>磋商报价包括磋商供应商在首次提交的响应文件中的报价、磋商过程中的报价和最后报价；磋商供应商的报价均应以人民币报价；</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11.2</w:t>
      </w:r>
      <w:r>
        <w:rPr>
          <w:rFonts w:hint="eastAsia"/>
        </w:rPr>
        <w:t>供应商应按照本采购文件规定的采购需求及合同条款等内容进行报价，并按竞争性磋商文件确定的格式报出；报价中不得包含竞争性磋商文件要求以外的内容，否则，在评审时不予核减；报价中也不得缺漏竞争性磋商文件所要求的内容，否则，其响应文件将被视为无效文件；</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11.3</w:t>
      </w:r>
      <w:r>
        <w:rPr>
          <w:rFonts w:hint="eastAsia"/>
        </w:rPr>
        <w:t>供应商应根据本磋商文件的规定和要求、市场价格水平及其走势、磋商供应商的方案和由这些因素决定的磋商供应商之于本项目的成本水平等提出自己的报价；报价应包含完成本采购文件采购需求全部内容的所有费用，所有根据本采购文件或其它原因应由磋商供应商支付的税款和其他应交纳的费用都应包括在报价中；但磋商供应商不得以低于其成本的价格进行报价；</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11.4</w:t>
      </w:r>
      <w:r>
        <w:rPr>
          <w:rFonts w:hint="eastAsia"/>
        </w:rPr>
        <w:t>供应商在响应文件中注明免费的项目将视为包含在报价中；</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11.5</w:t>
      </w:r>
      <w:r>
        <w:rPr>
          <w:rFonts w:hint="eastAsia"/>
        </w:rPr>
        <w:t>每一种采购内容只允许有一个报价，否则其响应文件将被视为无效文件；</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11.6</w:t>
      </w:r>
      <w:r>
        <w:rPr>
          <w:rFonts w:hint="eastAsia"/>
        </w:rPr>
        <w:t>成交供应商的报价在合同执行过程中是固定不变的，不得以任何理由予以变更；</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121" w:name="_Toc5423"/>
      <w:bookmarkStart w:id="122" w:name="_Toc20254_WPSOffice_Level2"/>
      <w:bookmarkStart w:id="123" w:name="_Toc447024836"/>
      <w:bookmarkStart w:id="124" w:name="_Toc9791"/>
      <w:bookmarkStart w:id="125" w:name="_Toc24365"/>
      <w:bookmarkStart w:id="126" w:name="_Toc24285_WPSOffice_Level2"/>
      <w:bookmarkStart w:id="127" w:name="_Toc6125"/>
      <w:bookmarkStart w:id="128" w:name="_Toc446599895"/>
      <w:bookmarkStart w:id="129" w:name="_Toc2128"/>
      <w:bookmarkStart w:id="130" w:name="_Toc467587324"/>
      <w:r>
        <w:rPr>
          <w:b/>
          <w:bCs/>
        </w:rPr>
        <w:t>1</w:t>
      </w:r>
      <w:r>
        <w:rPr>
          <w:rFonts w:hint="eastAsia"/>
          <w:b/>
          <w:bCs/>
          <w:lang w:val="en-US" w:eastAsia="zh-CN"/>
        </w:rPr>
        <w:t>2</w:t>
      </w:r>
      <w:r>
        <w:rPr>
          <w:rFonts w:hint="eastAsia"/>
          <w:b/>
          <w:bCs/>
        </w:rPr>
        <w:t>、竞争性磋商响应文件的装订、签署和数量</w:t>
      </w:r>
      <w:bookmarkEnd w:id="121"/>
      <w:bookmarkEnd w:id="122"/>
      <w:bookmarkEnd w:id="123"/>
      <w:bookmarkEnd w:id="124"/>
      <w:bookmarkEnd w:id="125"/>
      <w:bookmarkEnd w:id="126"/>
      <w:bookmarkEnd w:id="127"/>
      <w:bookmarkEnd w:id="128"/>
      <w:bookmarkEnd w:id="129"/>
      <w:bookmarkEnd w:id="130"/>
    </w:p>
    <w:p>
      <w:pPr>
        <w:pStyle w:val="9"/>
        <w:pageBreakBefore w:val="0"/>
        <w:widowControl w:val="0"/>
        <w:kinsoku/>
        <w:wordWrap/>
        <w:overflowPunct/>
        <w:topLinePunct w:val="0"/>
        <w:bidi w:val="0"/>
        <w:spacing w:line="360" w:lineRule="auto"/>
        <w:ind w:left="0" w:leftChars="0" w:right="0" w:rightChars="0"/>
        <w:textAlignment w:val="auto"/>
      </w:pPr>
      <w:r>
        <w:t xml:space="preserve">    1</w:t>
      </w:r>
      <w:r>
        <w:rPr>
          <w:rFonts w:hint="eastAsia"/>
          <w:lang w:val="en-US" w:eastAsia="zh-CN"/>
        </w:rPr>
        <w:t>2</w:t>
      </w:r>
      <w:r>
        <w:t>.1</w:t>
      </w:r>
      <w:r>
        <w:rPr>
          <w:rFonts w:hint="eastAsia"/>
        </w:rPr>
        <w:t>供应商提交的响应文件应包括正本及单独提供的法定代表人授权委托书（或法定代表人身份证明书）、报价一览表；本次磋商供应商提交响应文件数量见《磋商须知前附表》；</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w:t>
      </w:r>
      <w:r>
        <w:rPr>
          <w:rFonts w:hint="eastAsia"/>
          <w:lang w:val="en-US" w:eastAsia="zh-CN"/>
        </w:rPr>
        <w:t>2</w:t>
      </w:r>
      <w:r>
        <w:t>.</w:t>
      </w:r>
      <w:r>
        <w:rPr>
          <w:rFonts w:hint="eastAsia"/>
          <w:lang w:val="en-US" w:eastAsia="zh-CN"/>
        </w:rPr>
        <w:t>2</w:t>
      </w:r>
      <w:r>
        <w:rPr>
          <w:rFonts w:hint="eastAsia"/>
        </w:rPr>
        <w:t>正本需打印或用不褪色墨水书写，并由法定代表人或授权代表签字并加盖公章；由授权代表签字的，响应文件中应提交《法定代表人授权书》；</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w:t>
      </w:r>
      <w:r>
        <w:rPr>
          <w:rFonts w:hint="eastAsia"/>
          <w:lang w:val="en-US" w:eastAsia="zh-CN"/>
        </w:rPr>
        <w:t>2</w:t>
      </w:r>
      <w:r>
        <w:t>.</w:t>
      </w:r>
      <w:r>
        <w:rPr>
          <w:rFonts w:hint="eastAsia"/>
          <w:lang w:val="en-US" w:eastAsia="zh-CN"/>
        </w:rPr>
        <w:t>3</w:t>
      </w:r>
      <w:r>
        <w:rPr>
          <w:rFonts w:hint="eastAsia"/>
        </w:rPr>
        <w:t>竞争性磋商响应文件中的任何行间插字、涂改和增删，必须由法定代表人或授权代表在旁边签字才有效；</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131" w:name="_Toc467587326"/>
      <w:bookmarkStart w:id="132" w:name="_Toc14587"/>
      <w:bookmarkStart w:id="133" w:name="_Toc26420"/>
      <w:bookmarkStart w:id="134" w:name="_Toc446599897"/>
      <w:bookmarkStart w:id="135" w:name="_Toc25769"/>
      <w:bookmarkStart w:id="136" w:name="_Toc13132"/>
      <w:bookmarkStart w:id="137" w:name="_Toc1993_WPSOffice_Level2"/>
      <w:bookmarkStart w:id="138" w:name="_Toc5523"/>
      <w:bookmarkStart w:id="139" w:name="_Toc447024838"/>
      <w:bookmarkStart w:id="140" w:name="_Toc21192_WPSOffice_Level2"/>
      <w:r>
        <w:rPr>
          <w:b/>
          <w:bCs/>
        </w:rPr>
        <w:t>1</w:t>
      </w:r>
      <w:r>
        <w:rPr>
          <w:rFonts w:hint="eastAsia"/>
          <w:b/>
          <w:bCs/>
          <w:lang w:val="en-US" w:eastAsia="zh-CN"/>
        </w:rPr>
        <w:t>3</w:t>
      </w:r>
      <w:r>
        <w:rPr>
          <w:rFonts w:hint="eastAsia"/>
          <w:b/>
          <w:bCs/>
        </w:rPr>
        <w:t>、竞争性磋商响应文件的密封和标记</w:t>
      </w:r>
      <w:bookmarkEnd w:id="131"/>
      <w:bookmarkEnd w:id="132"/>
      <w:bookmarkEnd w:id="133"/>
      <w:bookmarkEnd w:id="134"/>
      <w:bookmarkEnd w:id="135"/>
      <w:bookmarkEnd w:id="136"/>
      <w:bookmarkEnd w:id="137"/>
      <w:bookmarkEnd w:id="138"/>
      <w:bookmarkEnd w:id="139"/>
      <w:bookmarkEnd w:id="140"/>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w:t>
      </w:r>
      <w:r>
        <w:rPr>
          <w:rFonts w:hint="eastAsia"/>
          <w:lang w:val="en-US" w:eastAsia="zh-CN"/>
        </w:rPr>
        <w:t>3</w:t>
      </w:r>
      <w:r>
        <w:t>.1</w:t>
      </w:r>
      <w:r>
        <w:rPr>
          <w:rFonts w:hint="eastAsia"/>
        </w:rPr>
        <w:t>响应文件必须密封和加盖供应商公章后递交，包装上应注明采购编号、项目名称、供应商名称及“</w:t>
      </w:r>
      <w:r>
        <w:t xml:space="preserve">  </w:t>
      </w:r>
      <w:r>
        <w:rPr>
          <w:rFonts w:hint="eastAsia"/>
        </w:rPr>
        <w:t>（磋商时间）</w:t>
      </w:r>
      <w:r>
        <w:t xml:space="preserve">  </w:t>
      </w:r>
      <w:r>
        <w:rPr>
          <w:rFonts w:hint="eastAsia"/>
        </w:rPr>
        <w:t>前不得启封”的字样；</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w:t>
      </w:r>
      <w:r>
        <w:rPr>
          <w:rFonts w:hint="eastAsia"/>
          <w:lang w:val="en-US" w:eastAsia="zh-CN"/>
        </w:rPr>
        <w:t>3</w:t>
      </w:r>
      <w:r>
        <w:t>.2</w:t>
      </w:r>
      <w:r>
        <w:rPr>
          <w:rFonts w:hint="eastAsia"/>
        </w:rPr>
        <w:t>为方便磋商记录，供应商还应将两份《报价一览表》（原件）与一份《法定代表人授权书》（原件）单独密封提交，除需按上款要求注明外还应在信封上标明“报价一览表”字样；</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w:t>
      </w:r>
      <w:r>
        <w:rPr>
          <w:rFonts w:hint="eastAsia"/>
          <w:lang w:val="en-US" w:eastAsia="zh-CN"/>
        </w:rPr>
        <w:t>3</w:t>
      </w:r>
      <w:r>
        <w:t>.3</w:t>
      </w:r>
      <w:r>
        <w:rPr>
          <w:rFonts w:hint="eastAsia"/>
        </w:rPr>
        <w:t>未按要求密封和加写标记的响应文件为无效文件，采购人、采购代理机构将拒收；</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141" w:name="_Toc3979"/>
      <w:bookmarkStart w:id="142" w:name="_Toc467587327"/>
      <w:bookmarkStart w:id="143" w:name="_Toc26517"/>
      <w:bookmarkStart w:id="144" w:name="_Toc17381"/>
      <w:bookmarkStart w:id="145" w:name="_Toc6537"/>
      <w:bookmarkStart w:id="146" w:name="_Toc19417_WPSOffice_Level2"/>
      <w:bookmarkStart w:id="147" w:name="_Toc446599898"/>
      <w:bookmarkStart w:id="148" w:name="_Toc447024839"/>
      <w:bookmarkStart w:id="149" w:name="_Toc5374_WPSOffice_Level2"/>
      <w:bookmarkStart w:id="150" w:name="_Toc20678"/>
      <w:r>
        <w:rPr>
          <w:b/>
          <w:bCs/>
        </w:rPr>
        <w:t>1</w:t>
      </w:r>
      <w:r>
        <w:rPr>
          <w:rFonts w:hint="eastAsia"/>
          <w:b/>
          <w:bCs/>
          <w:lang w:val="en-US" w:eastAsia="zh-CN"/>
        </w:rPr>
        <w:t>4</w:t>
      </w:r>
      <w:r>
        <w:rPr>
          <w:rFonts w:hint="eastAsia"/>
          <w:b/>
          <w:bCs/>
        </w:rPr>
        <w:t>、竞争性磋商响应文件的送达地点及截止时间</w:t>
      </w:r>
      <w:bookmarkEnd w:id="141"/>
      <w:bookmarkEnd w:id="142"/>
      <w:bookmarkEnd w:id="143"/>
      <w:bookmarkEnd w:id="144"/>
      <w:bookmarkEnd w:id="145"/>
      <w:bookmarkEnd w:id="146"/>
      <w:bookmarkEnd w:id="147"/>
      <w:bookmarkEnd w:id="148"/>
      <w:bookmarkEnd w:id="149"/>
      <w:bookmarkEnd w:id="150"/>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lang w:val="en-US"/>
        </w:rPr>
        <w:t>1</w:t>
      </w:r>
      <w:r>
        <w:rPr>
          <w:rFonts w:hint="eastAsia"/>
          <w:lang w:val="en-US" w:eastAsia="zh-CN"/>
        </w:rPr>
        <w:t>4</w:t>
      </w:r>
      <w:r>
        <w:rPr>
          <w:lang w:val="en-US"/>
        </w:rPr>
        <w:t>.1</w:t>
      </w:r>
      <w:r>
        <w:rPr>
          <w:rFonts w:hint="eastAsia"/>
        </w:rPr>
        <w:t>截止时间是竞争性磋商文件中规定的首次送达、提交响应文件的最后时间；本次磋商响应文件的送达地点及截止时间见《磋商须知前附表》；</w:t>
      </w:r>
    </w:p>
    <w:p>
      <w:pPr>
        <w:pStyle w:val="9"/>
        <w:pageBreakBefore w:val="0"/>
        <w:widowControl w:val="0"/>
        <w:kinsoku/>
        <w:wordWrap/>
        <w:overflowPunct/>
        <w:topLinePunct w:val="0"/>
        <w:bidi w:val="0"/>
        <w:spacing w:line="360" w:lineRule="auto"/>
        <w:ind w:left="0" w:leftChars="0" w:right="0" w:rightChars="0"/>
        <w:textAlignment w:val="auto"/>
        <w:outlineLvl w:val="1"/>
      </w:pPr>
      <w:bookmarkStart w:id="151" w:name="_Toc446599899"/>
      <w:bookmarkStart w:id="152" w:name="_Toc10269_WPSOffice_Level2"/>
      <w:bookmarkStart w:id="153" w:name="_Toc478"/>
      <w:bookmarkStart w:id="154" w:name="_Toc467587328"/>
      <w:bookmarkStart w:id="155" w:name="_Toc21117"/>
      <w:bookmarkStart w:id="156" w:name="_Toc1951"/>
      <w:bookmarkStart w:id="157" w:name="_Toc18685"/>
      <w:bookmarkStart w:id="158" w:name="_Toc22059_WPSOffice_Level2"/>
      <w:bookmarkStart w:id="159" w:name="_Toc11867"/>
      <w:bookmarkStart w:id="160" w:name="_Toc447024840"/>
      <w:r>
        <w:rPr>
          <w:b/>
          <w:bCs/>
        </w:rPr>
        <w:t>1</w:t>
      </w:r>
      <w:r>
        <w:rPr>
          <w:rFonts w:hint="eastAsia"/>
          <w:b/>
          <w:bCs/>
          <w:lang w:val="en-US" w:eastAsia="zh-CN"/>
        </w:rPr>
        <w:t>5</w:t>
      </w:r>
      <w:r>
        <w:rPr>
          <w:rFonts w:hint="eastAsia"/>
          <w:b/>
          <w:bCs/>
        </w:rPr>
        <w:t>、迟交的竞争性磋商响应文件</w:t>
      </w:r>
      <w:bookmarkEnd w:id="151"/>
      <w:bookmarkEnd w:id="152"/>
      <w:bookmarkEnd w:id="153"/>
      <w:bookmarkEnd w:id="154"/>
      <w:bookmarkEnd w:id="155"/>
      <w:bookmarkEnd w:id="156"/>
      <w:bookmarkEnd w:id="157"/>
      <w:bookmarkEnd w:id="158"/>
      <w:bookmarkEnd w:id="159"/>
      <w:bookmarkEnd w:id="160"/>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rFonts w:hint="eastAsia"/>
          <w:lang w:val="en-US" w:eastAsia="zh-CN"/>
        </w:rPr>
        <w:t>15</w:t>
      </w:r>
      <w:r>
        <w:rPr>
          <w:lang w:val="en-US"/>
        </w:rPr>
        <w:t>.1</w:t>
      </w:r>
      <w:r>
        <w:rPr>
          <w:rFonts w:hint="eastAsia"/>
        </w:rPr>
        <w:t>在本次磋商递交响应文件的截止时间以后送达的响应文件，不论何种原因，</w:t>
      </w:r>
      <w:r>
        <w:rPr>
          <w:rFonts w:hint="eastAsia"/>
          <w:lang w:val="en-US" w:eastAsia="zh-CN"/>
        </w:rPr>
        <w:t>都</w:t>
      </w:r>
      <w:r>
        <w:rPr>
          <w:rFonts w:hint="eastAsia"/>
        </w:rPr>
        <w:t>将拒收；</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161" w:name="_Toc446599900"/>
      <w:bookmarkStart w:id="162" w:name="_Toc27874_WPSOffice_Level2"/>
      <w:bookmarkStart w:id="163" w:name="_Toc447024841"/>
      <w:bookmarkStart w:id="164" w:name="_Toc19445"/>
      <w:bookmarkStart w:id="165" w:name="_Toc14448"/>
      <w:bookmarkStart w:id="166" w:name="_Toc11805"/>
      <w:bookmarkStart w:id="167" w:name="_Toc3707"/>
      <w:bookmarkStart w:id="168" w:name="_Toc467587329"/>
      <w:bookmarkStart w:id="169" w:name="_Toc28288"/>
      <w:bookmarkStart w:id="170" w:name="_Toc11049_WPSOffice_Level2"/>
      <w:r>
        <w:rPr>
          <w:rFonts w:hint="eastAsia"/>
          <w:b/>
          <w:bCs/>
          <w:lang w:val="en-US" w:eastAsia="zh-CN"/>
        </w:rPr>
        <w:t>16</w:t>
      </w:r>
      <w:r>
        <w:rPr>
          <w:rFonts w:hint="eastAsia"/>
          <w:b/>
          <w:bCs/>
        </w:rPr>
        <w:t>、竞争性磋商响应文件的补充、修改或者撤回</w:t>
      </w:r>
      <w:bookmarkEnd w:id="161"/>
      <w:bookmarkEnd w:id="162"/>
      <w:bookmarkEnd w:id="163"/>
      <w:bookmarkEnd w:id="164"/>
      <w:bookmarkEnd w:id="165"/>
      <w:bookmarkEnd w:id="166"/>
      <w:bookmarkEnd w:id="167"/>
      <w:bookmarkEnd w:id="168"/>
      <w:bookmarkEnd w:id="169"/>
      <w:bookmarkEnd w:id="170"/>
    </w:p>
    <w:p>
      <w:pPr>
        <w:pStyle w:val="9"/>
        <w:pageBreakBefore w:val="0"/>
        <w:widowControl w:val="0"/>
        <w:kinsoku/>
        <w:wordWrap/>
        <w:overflowPunct/>
        <w:topLinePunct w:val="0"/>
        <w:bidi w:val="0"/>
        <w:spacing w:line="360" w:lineRule="auto"/>
        <w:ind w:left="0" w:leftChars="0" w:right="0" w:rightChars="0" w:firstLine="480"/>
        <w:textAlignment w:val="auto"/>
      </w:pPr>
      <w:r>
        <w:rPr>
          <w:rFonts w:hint="eastAsia"/>
          <w:lang w:val="en-US" w:eastAsia="zh-CN"/>
        </w:rPr>
        <w:t>16</w:t>
      </w:r>
      <w:r>
        <w:t>.</w:t>
      </w:r>
      <w:r>
        <w:rPr>
          <w:rFonts w:hint="eastAsia"/>
          <w:lang w:val="en-US" w:eastAsia="zh-CN"/>
        </w:rPr>
        <w:t>1</w:t>
      </w:r>
      <w:r>
        <w:rPr>
          <w:rFonts w:hint="eastAsia"/>
        </w:rPr>
        <w:t>从提交响应文件截止时间至磋商有效期期满这段时间，供应商不得修改或撤销其响应文件；</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rFonts w:hint="eastAsia"/>
          <w:lang w:val="en-US" w:eastAsia="zh-CN"/>
        </w:rPr>
        <w:t>16.2</w:t>
      </w:r>
      <w:r>
        <w:rPr>
          <w:rFonts w:hint="eastAsia"/>
        </w:rPr>
        <w:t>供应商所提交的响应文件在磋商结束后，无论成交与否都不退还；</w:t>
      </w:r>
    </w:p>
    <w:p>
      <w:pPr>
        <w:pStyle w:val="9"/>
        <w:pageBreakBefore w:val="0"/>
        <w:widowControl w:val="0"/>
        <w:kinsoku/>
        <w:wordWrap/>
        <w:overflowPunct/>
        <w:topLinePunct w:val="0"/>
        <w:bidi w:val="0"/>
        <w:spacing w:line="360" w:lineRule="auto"/>
        <w:ind w:left="0" w:leftChars="0" w:right="0" w:rightChars="0"/>
        <w:textAlignment w:val="auto"/>
        <w:outlineLvl w:val="1"/>
      </w:pPr>
      <w:bookmarkStart w:id="171" w:name="_Toc447024842"/>
      <w:bookmarkStart w:id="172" w:name="_Toc18459"/>
      <w:bookmarkStart w:id="173" w:name="_Toc30891_WPSOffice_Level2"/>
      <w:bookmarkStart w:id="174" w:name="_Toc467587330"/>
      <w:bookmarkStart w:id="175" w:name="_Toc446599901"/>
      <w:bookmarkStart w:id="176" w:name="_Toc1268_WPSOffice_Level2"/>
      <w:bookmarkStart w:id="177" w:name="_Toc26347_WPSOffice_Level2"/>
      <w:r>
        <w:rPr>
          <w:rFonts w:hint="eastAsia"/>
          <w:b/>
          <w:bCs/>
          <w:lang w:val="en-US" w:eastAsia="zh-CN"/>
        </w:rPr>
        <w:t>17</w:t>
      </w:r>
      <w:r>
        <w:rPr>
          <w:rFonts w:hint="eastAsia"/>
          <w:b/>
          <w:bCs/>
          <w:lang w:val="en-US"/>
        </w:rPr>
        <w:t>、</w:t>
      </w:r>
      <w:r>
        <w:rPr>
          <w:rFonts w:hint="eastAsia"/>
          <w:b/>
          <w:bCs/>
        </w:rPr>
        <w:t>磋商</w:t>
      </w:r>
      <w:bookmarkEnd w:id="171"/>
      <w:bookmarkEnd w:id="172"/>
      <w:bookmarkEnd w:id="173"/>
      <w:bookmarkEnd w:id="174"/>
      <w:bookmarkEnd w:id="175"/>
      <w:r>
        <w:rPr>
          <w:rFonts w:hint="eastAsia"/>
          <w:b/>
          <w:bCs/>
        </w:rPr>
        <w:t>小组</w:t>
      </w:r>
      <w:bookmarkEnd w:id="176"/>
      <w:bookmarkEnd w:id="177"/>
    </w:p>
    <w:p>
      <w:pPr>
        <w:pStyle w:val="9"/>
        <w:pageBreakBefore w:val="0"/>
        <w:widowControl w:val="0"/>
        <w:kinsoku/>
        <w:wordWrap/>
        <w:overflowPunct/>
        <w:topLinePunct w:val="0"/>
        <w:bidi w:val="0"/>
        <w:spacing w:line="360" w:lineRule="auto"/>
        <w:ind w:left="0" w:leftChars="0" w:right="0" w:rightChars="0" w:firstLine="480" w:firstLineChars="200"/>
        <w:textAlignment w:val="auto"/>
      </w:pPr>
      <w:bookmarkStart w:id="178" w:name="_Toc21296"/>
      <w:bookmarkEnd w:id="178"/>
      <w:bookmarkStart w:id="179" w:name="_Toc7474"/>
      <w:bookmarkEnd w:id="179"/>
      <w:bookmarkStart w:id="180" w:name="_Toc9118"/>
      <w:bookmarkEnd w:id="180"/>
      <w:bookmarkStart w:id="181" w:name="_Toc27157"/>
      <w:bookmarkEnd w:id="181"/>
      <w:bookmarkStart w:id="182" w:name="_Toc447024843"/>
      <w:bookmarkEnd w:id="182"/>
      <w:bookmarkStart w:id="183" w:name="_Toc446599902"/>
      <w:bookmarkEnd w:id="183"/>
      <w:bookmarkStart w:id="184" w:name="_Toc467587331"/>
      <w:bookmarkEnd w:id="184"/>
      <w:bookmarkStart w:id="185" w:name="_Toc1799"/>
      <w:bookmarkEnd w:id="185"/>
      <w:r>
        <w:rPr>
          <w:rFonts w:hint="eastAsia"/>
          <w:lang w:val="en-US" w:eastAsia="zh-CN"/>
        </w:rPr>
        <w:t>17</w:t>
      </w:r>
      <w:r>
        <w:t xml:space="preserve">.1 </w:t>
      </w:r>
      <w:r>
        <w:rPr>
          <w:rFonts w:hint="eastAsia"/>
        </w:rPr>
        <w:t>磋商小组由采购人代表和评审专家共</w:t>
      </w:r>
      <w:r>
        <w:t xml:space="preserve">3 </w:t>
      </w:r>
      <w:r>
        <w:rPr>
          <w:rFonts w:hint="eastAsia"/>
        </w:rPr>
        <w:t>人组成；</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rFonts w:hint="eastAsia"/>
        </w:rPr>
      </w:pPr>
      <w:r>
        <w:rPr>
          <w:rFonts w:hint="eastAsia"/>
          <w:lang w:val="en-US" w:eastAsia="zh-CN"/>
        </w:rPr>
        <w:t>17</w:t>
      </w:r>
      <w:r>
        <w:t xml:space="preserve">.2 </w:t>
      </w:r>
      <w:r>
        <w:rPr>
          <w:rFonts w:hint="eastAsia"/>
        </w:rPr>
        <w:t>磋商小组中的评审专家人数不少于磋商小组成员总数的</w:t>
      </w:r>
      <w:r>
        <w:t>2/3</w:t>
      </w:r>
      <w:r>
        <w:rPr>
          <w:rFonts w:hint="eastAsia"/>
        </w:rPr>
        <w:t>；</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w:t>
      </w:r>
      <w:r>
        <w:rPr>
          <w:rFonts w:hint="eastAsia"/>
          <w:lang w:val="en-US" w:eastAsia="zh-CN"/>
        </w:rPr>
        <w:t>7</w:t>
      </w:r>
      <w:r>
        <w:t xml:space="preserve">.3 </w:t>
      </w:r>
      <w:r>
        <w:rPr>
          <w:rFonts w:hint="eastAsia"/>
        </w:rPr>
        <w:t>磋商小组所有成员按事先确定的磋商顺序，集中与磋商供应商分别进行磋商，并给予所有参加磋商的供应商平等的磋商机会；</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186" w:name="_Toc31882"/>
      <w:bookmarkStart w:id="187" w:name="_Toc5648"/>
      <w:bookmarkStart w:id="188" w:name="_Toc10060_WPSOffice_Level2"/>
      <w:bookmarkStart w:id="189" w:name="_Toc32673_WPSOffice_Level2"/>
      <w:bookmarkStart w:id="190" w:name="_Toc467587332"/>
      <w:bookmarkStart w:id="191" w:name="_Toc447024844"/>
      <w:bookmarkStart w:id="192" w:name="_Toc6821"/>
      <w:bookmarkStart w:id="193" w:name="_Toc446599903"/>
      <w:bookmarkStart w:id="194" w:name="_Toc4788"/>
      <w:bookmarkStart w:id="195" w:name="_Toc17375"/>
      <w:r>
        <w:rPr>
          <w:rFonts w:hint="eastAsia"/>
          <w:b/>
          <w:bCs/>
          <w:lang w:val="en-US" w:eastAsia="zh-CN"/>
        </w:rPr>
        <w:t>18</w:t>
      </w:r>
      <w:r>
        <w:rPr>
          <w:rFonts w:hint="eastAsia"/>
          <w:b/>
          <w:bCs/>
        </w:rPr>
        <w:t>、磋商代表</w:t>
      </w:r>
      <w:bookmarkEnd w:id="186"/>
      <w:bookmarkEnd w:id="187"/>
      <w:bookmarkEnd w:id="188"/>
      <w:bookmarkEnd w:id="189"/>
      <w:bookmarkEnd w:id="190"/>
      <w:bookmarkEnd w:id="191"/>
      <w:bookmarkEnd w:id="192"/>
      <w:bookmarkEnd w:id="193"/>
      <w:bookmarkEnd w:id="194"/>
      <w:bookmarkEnd w:id="195"/>
    </w:p>
    <w:p>
      <w:pPr>
        <w:pStyle w:val="9"/>
        <w:pageBreakBefore w:val="0"/>
        <w:widowControl w:val="0"/>
        <w:kinsoku/>
        <w:wordWrap/>
        <w:overflowPunct/>
        <w:topLinePunct w:val="0"/>
        <w:bidi w:val="0"/>
        <w:spacing w:line="360" w:lineRule="auto"/>
        <w:ind w:left="0" w:leftChars="0" w:right="0" w:rightChars="0" w:firstLine="480" w:firstLineChars="200"/>
        <w:textAlignment w:val="auto"/>
      </w:pPr>
      <w:bookmarkStart w:id="196" w:name="_Toc17609"/>
      <w:bookmarkStart w:id="197" w:name="_Toc9967"/>
      <w:bookmarkStart w:id="198" w:name="_Toc446599904"/>
      <w:bookmarkStart w:id="199" w:name="_Toc18797"/>
      <w:bookmarkStart w:id="200" w:name="_Toc7387"/>
      <w:bookmarkStart w:id="201" w:name="_Toc447024845"/>
      <w:bookmarkStart w:id="202" w:name="_Toc467587333"/>
      <w:bookmarkStart w:id="203" w:name="_Toc30139"/>
      <w:r>
        <w:rPr>
          <w:rFonts w:hint="eastAsia"/>
          <w:lang w:val="en-US" w:eastAsia="zh-CN"/>
        </w:rPr>
        <w:t>18</w:t>
      </w:r>
      <w:r>
        <w:rPr>
          <w:lang w:val="en-US"/>
        </w:rPr>
        <w:t>.1</w:t>
      </w:r>
      <w:r>
        <w:rPr>
          <w:rFonts w:hint="eastAsia"/>
        </w:rPr>
        <w:t>磋商供应商法定代表人或授权代表应携带本人身份证参加磋商，授权代表参加磋商的，还应携带法定代表人授权书原件；磋商代表经磋商小组核对身份后，方可参加磋商</w:t>
      </w:r>
      <w:bookmarkEnd w:id="196"/>
      <w:bookmarkEnd w:id="197"/>
      <w:bookmarkEnd w:id="198"/>
      <w:bookmarkEnd w:id="199"/>
      <w:bookmarkEnd w:id="200"/>
      <w:bookmarkEnd w:id="201"/>
      <w:bookmarkEnd w:id="202"/>
      <w:bookmarkEnd w:id="203"/>
      <w:r>
        <w:rPr>
          <w:rFonts w:hint="eastAsia"/>
        </w:rPr>
        <w:t>；</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204" w:name="_Toc16767_WPSOffice_Level2"/>
      <w:bookmarkStart w:id="205" w:name="_Toc17164_WPSOffice_Level2"/>
      <w:r>
        <w:rPr>
          <w:rFonts w:hint="eastAsia"/>
          <w:b/>
          <w:bCs/>
          <w:lang w:val="en-US" w:eastAsia="zh-CN"/>
        </w:rPr>
        <w:t>19</w:t>
      </w:r>
      <w:r>
        <w:rPr>
          <w:rFonts w:hint="eastAsia"/>
          <w:b/>
          <w:bCs/>
        </w:rPr>
        <w:t>、资格审查和符合性审查</w:t>
      </w:r>
      <w:bookmarkEnd w:id="204"/>
      <w:bookmarkEnd w:id="205"/>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rFonts w:hint="eastAsia"/>
          <w:lang w:val="en-US" w:eastAsia="zh-CN"/>
        </w:rPr>
        <w:t>19</w:t>
      </w:r>
      <w:r>
        <w:rPr>
          <w:lang w:val="en-US"/>
        </w:rPr>
        <w:t>.1</w:t>
      </w:r>
      <w:r>
        <w:rPr>
          <w:rFonts w:hint="eastAsia"/>
        </w:rPr>
        <w:t>在正式磋商前，本磋商文件第三章规定的程序和方法，对供应商进行资格性审查和符合性审查，通过资格性审查和符合性审查，实质性响应磋商文件的供应商方可进入磋商程序；</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206" w:name="_Toc24615_WPSOffice_Level2"/>
      <w:bookmarkStart w:id="207" w:name="_Toc18458_WPSOffice_Level2"/>
      <w:r>
        <w:rPr>
          <w:rFonts w:hint="eastAsia"/>
          <w:b/>
          <w:bCs/>
          <w:lang w:val="en-US" w:eastAsia="zh-CN"/>
        </w:rPr>
        <w:t>20</w:t>
      </w:r>
      <w:r>
        <w:rPr>
          <w:rFonts w:hint="eastAsia"/>
          <w:b/>
          <w:bCs/>
        </w:rPr>
        <w:t>、磋商</w:t>
      </w:r>
      <w:bookmarkEnd w:id="206"/>
      <w:bookmarkEnd w:id="207"/>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rFonts w:hint="eastAsia"/>
          <w:lang w:val="en-US" w:eastAsia="zh-CN"/>
        </w:rPr>
        <w:t>20</w:t>
      </w:r>
      <w:r>
        <w:t>.1</w:t>
      </w:r>
      <w:r>
        <w:rPr>
          <w:rFonts w:hint="eastAsia"/>
        </w:rPr>
        <w:t>磋商小组将根据本磋商文件第三章规定的程序和方法与供应商进行磋商；在磋商中，磋商的任何一方不得透露与磋商有关的其他磋商供应商的技术资料、价格和其他信息；</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2</w:t>
      </w:r>
      <w:r>
        <w:rPr>
          <w:rFonts w:hint="eastAsia"/>
          <w:lang w:val="en-US" w:eastAsia="zh-CN"/>
        </w:rPr>
        <w:t>0</w:t>
      </w:r>
      <w:r>
        <w:t>.2</w:t>
      </w: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2</w:t>
      </w:r>
      <w:r>
        <w:rPr>
          <w:rFonts w:hint="eastAsia"/>
          <w:lang w:val="en-US" w:eastAsia="zh-CN"/>
        </w:rPr>
        <w:t>0</w:t>
      </w:r>
      <w:r>
        <w:t>.3</w:t>
      </w:r>
      <w:r>
        <w:rPr>
          <w:rFonts w:hint="eastAsia"/>
        </w:rPr>
        <w:t>在提交最后报价之前，供应商不得退出磋商；</w:t>
      </w:r>
    </w:p>
    <w:p>
      <w:pPr>
        <w:pStyle w:val="9"/>
        <w:pageBreakBefore w:val="0"/>
        <w:widowControl w:val="0"/>
        <w:kinsoku/>
        <w:wordWrap/>
        <w:overflowPunct/>
        <w:topLinePunct w:val="0"/>
        <w:bidi w:val="0"/>
        <w:spacing w:line="360" w:lineRule="auto"/>
        <w:ind w:left="0" w:leftChars="0" w:right="0" w:rightChars="0"/>
        <w:textAlignment w:val="auto"/>
        <w:outlineLvl w:val="1"/>
      </w:pPr>
      <w:bookmarkStart w:id="208" w:name="_Toc16153_WPSOffice_Level2"/>
      <w:bookmarkStart w:id="209" w:name="_Toc3504_WPSOffice_Level2"/>
      <w:r>
        <w:rPr>
          <w:b/>
          <w:bCs/>
        </w:rPr>
        <w:t>2</w:t>
      </w:r>
      <w:r>
        <w:rPr>
          <w:rFonts w:hint="eastAsia"/>
          <w:b/>
          <w:bCs/>
          <w:lang w:val="en-US" w:eastAsia="zh-CN"/>
        </w:rPr>
        <w:t>1</w:t>
      </w:r>
      <w:r>
        <w:rPr>
          <w:rFonts w:hint="eastAsia"/>
          <w:b/>
          <w:bCs/>
          <w:lang w:val="en-US"/>
        </w:rPr>
        <w:t>、</w:t>
      </w:r>
      <w:r>
        <w:rPr>
          <w:rFonts w:hint="eastAsia"/>
          <w:b/>
          <w:bCs/>
        </w:rPr>
        <w:t>最后报价</w:t>
      </w:r>
      <w:bookmarkEnd w:id="208"/>
      <w:bookmarkEnd w:id="209"/>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lang w:val="en-US"/>
        </w:rPr>
        <w:t>2</w:t>
      </w:r>
      <w:r>
        <w:rPr>
          <w:rFonts w:hint="eastAsia"/>
          <w:lang w:val="en-US" w:eastAsia="zh-CN"/>
        </w:rPr>
        <w:t>1</w:t>
      </w:r>
      <w:r>
        <w:rPr>
          <w:lang w:val="en-US"/>
        </w:rPr>
        <w:t>.1</w:t>
      </w:r>
      <w:r>
        <w:rPr>
          <w:rFonts w:hint="eastAsia"/>
        </w:rPr>
        <w:t>所有磋商供应商递交最后报价后，磋商小组将记录所有磋商供应商的最终价格；最后报价为本次竞争性磋商不可变动的最终价格；</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rFonts w:hint="eastAsia"/>
          <w:lang w:val="en-US" w:eastAsia="zh-CN"/>
        </w:rPr>
        <w:t>21</w:t>
      </w:r>
      <w:r>
        <w:rPr>
          <w:lang w:val="en-US"/>
        </w:rPr>
        <w:t>.</w:t>
      </w:r>
      <w:r>
        <w:rPr>
          <w:rFonts w:hint="eastAsia"/>
          <w:lang w:val="en-US" w:eastAsia="zh-CN"/>
        </w:rPr>
        <w:t>2</w:t>
      </w:r>
      <w:r>
        <w:rPr>
          <w:rFonts w:hint="eastAsia"/>
        </w:rPr>
        <w:t>如有需要，磋商小组可进行多轮磋商，直至最终确定竞争性磋商文件采购需求中的技术、服务要求以及合同草案条款；如竞争性磋商文件无需修改，可直接要求磋商供应商提交最后报价；</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lang w:val="en-US"/>
        </w:rPr>
        <w:t>2</w:t>
      </w:r>
      <w:r>
        <w:rPr>
          <w:rFonts w:hint="eastAsia"/>
          <w:lang w:val="en-US" w:eastAsia="zh-CN"/>
        </w:rPr>
        <w:t>1</w:t>
      </w:r>
      <w:r>
        <w:rPr>
          <w:lang w:val="en-US"/>
        </w:rPr>
        <w:t>.</w:t>
      </w:r>
      <w:r>
        <w:rPr>
          <w:rFonts w:hint="eastAsia"/>
          <w:lang w:val="en-US" w:eastAsia="zh-CN"/>
        </w:rPr>
        <w:t>3</w:t>
      </w:r>
      <w:r>
        <w:rPr>
          <w:rFonts w:hint="eastAsia"/>
        </w:rPr>
        <w:t>经磋商确定最终采购需求和提交最后报价的供应商后，由磋商小组采用综合评分法对提交最后报价的供应商的响应文件和最后报价进行综合评分；磋商小组应当根据综合评分情况推荐成交候选人或根据采购人的书面授权直接确定成交供应商并编写评审报告，评审报告应当由磋商小组全体人员签字认可；</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210" w:name="_Toc13496_WPSOffice_Level2"/>
      <w:bookmarkStart w:id="211" w:name="_Toc11098_WPSOffice_Level2"/>
      <w:r>
        <w:rPr>
          <w:b/>
          <w:bCs/>
          <w:lang w:val="en-US"/>
        </w:rPr>
        <w:t>2</w:t>
      </w:r>
      <w:r>
        <w:rPr>
          <w:rFonts w:hint="eastAsia"/>
          <w:b/>
          <w:bCs/>
          <w:lang w:val="en-US" w:eastAsia="zh-CN"/>
        </w:rPr>
        <w:t>2</w:t>
      </w:r>
      <w:r>
        <w:rPr>
          <w:rFonts w:hint="eastAsia"/>
          <w:b/>
          <w:bCs/>
          <w:lang w:val="en-US"/>
        </w:rPr>
        <w:t>、</w:t>
      </w:r>
      <w:r>
        <w:rPr>
          <w:rFonts w:hint="eastAsia"/>
          <w:b/>
          <w:bCs/>
        </w:rPr>
        <w:t>保密</w:t>
      </w:r>
      <w:bookmarkEnd w:id="210"/>
      <w:bookmarkEnd w:id="211"/>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lang w:val="en-US"/>
        </w:rPr>
        <w:t>2</w:t>
      </w:r>
      <w:r>
        <w:rPr>
          <w:rFonts w:hint="eastAsia"/>
          <w:lang w:val="en-US" w:eastAsia="zh-CN"/>
        </w:rPr>
        <w:t>2</w:t>
      </w:r>
      <w:r>
        <w:rPr>
          <w:lang w:val="en-US"/>
        </w:rPr>
        <w:t>.1</w:t>
      </w:r>
      <w:r>
        <w:rPr>
          <w:rFonts w:hint="eastAsia"/>
        </w:rPr>
        <w:t>凡是属于审查、澄清、评价和比较的有关资料以及授标意向等，采购人、监管人员、磋商小组及有关工作人员均不得向供应商或其它无关的人员透露；</w:t>
      </w:r>
    </w:p>
    <w:p>
      <w:pPr>
        <w:pStyle w:val="9"/>
        <w:pageBreakBefore w:val="0"/>
        <w:widowControl w:val="0"/>
        <w:kinsoku/>
        <w:wordWrap/>
        <w:overflowPunct/>
        <w:topLinePunct w:val="0"/>
        <w:bidi w:val="0"/>
        <w:spacing w:line="360" w:lineRule="auto"/>
        <w:ind w:left="0" w:leftChars="0" w:right="0" w:rightChars="0"/>
        <w:textAlignment w:val="auto"/>
        <w:outlineLvl w:val="1"/>
      </w:pPr>
      <w:bookmarkStart w:id="212" w:name="_Toc24580_WPSOffice_Level2"/>
      <w:bookmarkStart w:id="213" w:name="_Toc32238_WPSOffice_Level2"/>
      <w:r>
        <w:rPr>
          <w:b/>
          <w:bCs/>
          <w:lang w:val="en-US"/>
        </w:rPr>
        <w:t>2</w:t>
      </w:r>
      <w:r>
        <w:rPr>
          <w:rFonts w:hint="eastAsia"/>
          <w:b/>
          <w:bCs/>
          <w:lang w:val="en-US" w:eastAsia="zh-CN"/>
        </w:rPr>
        <w:t>3</w:t>
      </w:r>
      <w:r>
        <w:rPr>
          <w:rFonts w:hint="eastAsia"/>
          <w:b/>
          <w:bCs/>
          <w:lang w:val="en-US"/>
        </w:rPr>
        <w:t>、</w:t>
      </w:r>
      <w:r>
        <w:rPr>
          <w:rFonts w:hint="eastAsia"/>
          <w:b/>
          <w:bCs/>
        </w:rPr>
        <w:t>签订合同</w:t>
      </w:r>
      <w:bookmarkEnd w:id="212"/>
      <w:bookmarkEnd w:id="213"/>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lang w:val="en-US"/>
        </w:rPr>
        <w:t>2</w:t>
      </w:r>
      <w:r>
        <w:rPr>
          <w:rFonts w:hint="eastAsia"/>
          <w:lang w:val="en-US" w:eastAsia="zh-CN"/>
        </w:rPr>
        <w:t>3</w:t>
      </w:r>
      <w:r>
        <w:rPr>
          <w:lang w:val="en-US"/>
        </w:rPr>
        <w:t>.</w:t>
      </w:r>
      <w:r>
        <w:rPr>
          <w:rFonts w:hint="eastAsia"/>
          <w:lang w:val="en-US" w:eastAsia="zh-CN"/>
        </w:rPr>
        <w:t>1</w:t>
      </w:r>
      <w:r>
        <w:rPr>
          <w:rFonts w:hint="eastAsia"/>
        </w:rPr>
        <w:t>采购人与成交供应商应按竞争性磋商文件要求和成交供应商的竞争性磋商响应文</w:t>
      </w:r>
      <w:r>
        <w:rPr>
          <w:rFonts w:hint="eastAsia"/>
          <w:color w:val="000000" w:themeColor="text1"/>
          <w14:textFill>
            <w14:solidFill>
              <w14:schemeClr w14:val="tx1"/>
            </w14:solidFill>
          </w14:textFill>
        </w:rPr>
        <w:t>件承诺订立书面合同，不得超出竞争性磋商文件和成交供应商竞争性磋商响应文件的范围，也不得再行订立背离合同实质性内容的其他协议；采购人应在《成交通知书》发出之日起</w:t>
      </w: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天内与成交供应商签订采购合同；</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color w:val="000000" w:themeColor="text1"/>
          <w:lang w:val="en-US"/>
          <w14:textFill>
            <w14:solidFill>
              <w14:schemeClr w14:val="tx1"/>
            </w14:solidFill>
          </w14:textFill>
        </w:rPr>
        <w:t>2</w:t>
      </w:r>
      <w:r>
        <w:rPr>
          <w:rFonts w:hint="eastAsia"/>
          <w:color w:val="000000" w:themeColor="text1"/>
          <w:lang w:val="en-US" w:eastAsia="zh-CN"/>
          <w14:textFill>
            <w14:solidFill>
              <w14:schemeClr w14:val="tx1"/>
            </w14:solidFill>
          </w14:textFill>
        </w:rPr>
        <w:t>3</w:t>
      </w:r>
      <w:r>
        <w:rPr>
          <w:color w:val="000000" w:themeColor="text1"/>
          <w:lang w:val="en-US"/>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val="en-US"/>
          <w14:textFill>
            <w14:solidFill>
              <w14:schemeClr w14:val="tx1"/>
            </w14:solidFill>
          </w14:textFill>
        </w:rPr>
        <w:t>成交供应商应当在</w:t>
      </w:r>
      <w:r>
        <w:rPr>
          <w:color w:val="000000" w:themeColor="text1"/>
          <w:lang w:val="en-US"/>
          <w14:textFill>
            <w14:solidFill>
              <w14:schemeClr w14:val="tx1"/>
            </w14:solidFill>
          </w14:textFill>
        </w:rPr>
        <w:t>7</w:t>
      </w:r>
      <w:r>
        <w:rPr>
          <w:rFonts w:hint="eastAsia"/>
          <w:color w:val="000000" w:themeColor="text1"/>
          <w:lang w:val="en-US"/>
          <w14:textFill>
            <w14:solidFill>
              <w14:schemeClr w14:val="tx1"/>
            </w14:solidFill>
          </w14:textFill>
        </w:rPr>
        <w:t>日内领取成交通知书，与采购人签订合同。超过规定期限不领取成交通知书，采购代理机构可以按照评审报告推荐的中标候选人名单排序，确定下一候选人为成交供应商，也可以重新开展政府采购活动；</w:t>
      </w:r>
      <w:r>
        <w:rPr>
          <w:color w:val="000000" w:themeColor="text1"/>
          <w14:textFill>
            <w14:solidFill>
              <w14:schemeClr w14:val="tx1"/>
            </w14:solidFill>
          </w14:textFill>
        </w:rPr>
        <w:t xml:space="preserve"> </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成</w:t>
      </w:r>
      <w:r>
        <w:rPr>
          <w:rFonts w:hint="eastAsia"/>
        </w:rPr>
        <w:t>交供应商在规定时间内拒绝签订采购合同的，采购人可以按照《政府采购竞争性磋商采购方式管理暂行办法》第三十三条规定的原则确定其他供应商作为成交供应商并签订采购合同，也可以重新开展采购活动；拒绝签订采购合同的成交供应商不得参加对该项目重新开展的采购活动；</w:t>
      </w: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214" w:name="_Toc447024847"/>
      <w:bookmarkStart w:id="215" w:name="_Toc29512_WPSOffice_Level2"/>
      <w:bookmarkStart w:id="216" w:name="_Toc10128_WPSOffice_Level2"/>
      <w:bookmarkStart w:id="217" w:name="_Toc467587335"/>
      <w:bookmarkStart w:id="218" w:name="_Toc20258_WPSOffice_Level2"/>
      <w:r>
        <w:rPr>
          <w:b/>
          <w:bCs/>
          <w:lang w:val="en-US"/>
        </w:rPr>
        <w:t>2</w:t>
      </w:r>
      <w:r>
        <w:rPr>
          <w:rFonts w:hint="eastAsia"/>
          <w:b/>
          <w:bCs/>
          <w:lang w:val="en-US" w:eastAsia="zh-CN"/>
        </w:rPr>
        <w:t>4</w:t>
      </w:r>
      <w:r>
        <w:rPr>
          <w:rFonts w:hint="eastAsia"/>
          <w:b/>
          <w:bCs/>
          <w:lang w:val="en-US"/>
        </w:rPr>
        <w:t>、</w:t>
      </w:r>
      <w:r>
        <w:rPr>
          <w:rFonts w:hint="eastAsia"/>
          <w:b/>
          <w:bCs/>
        </w:rPr>
        <w:t>质疑</w:t>
      </w:r>
      <w:bookmarkEnd w:id="214"/>
      <w:bookmarkEnd w:id="215"/>
      <w:bookmarkEnd w:id="216"/>
      <w:bookmarkEnd w:id="217"/>
      <w:bookmarkEnd w:id="218"/>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lang w:val="en-US"/>
        </w:rPr>
        <w:t>2</w:t>
      </w:r>
      <w:r>
        <w:rPr>
          <w:rFonts w:hint="eastAsia"/>
          <w:lang w:val="en-US" w:eastAsia="zh-CN"/>
        </w:rPr>
        <w:t>4</w:t>
      </w:r>
      <w:r>
        <w:rPr>
          <w:lang w:val="en-US"/>
        </w:rPr>
        <w:t>.</w:t>
      </w:r>
      <w:r>
        <w:rPr>
          <w:rFonts w:hint="eastAsia"/>
          <w:lang w:val="en-US" w:eastAsia="zh-CN"/>
        </w:rPr>
        <w:t>1</w:t>
      </w:r>
      <w:r>
        <w:rPr>
          <w:rFonts w:hint="eastAsia"/>
        </w:rPr>
        <w:t>如果供应商对此次采购活动有疑问，可以书面形式（书面原件、由供应商法人代表签字并加盖供应商公章）提出质疑；质疑应当有明确的请求和必要的证明材料；</w:t>
      </w: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bookmarkStart w:id="219" w:name="_Toc25331_WPSOffice_Level1"/>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p>
      <w:pPr>
        <w:pStyle w:val="9"/>
        <w:pageBreakBefore w:val="0"/>
        <w:widowControl w:val="0"/>
        <w:kinsoku/>
        <w:wordWrap/>
        <w:overflowPunct/>
        <w:topLinePunct w:val="0"/>
        <w:bidi w:val="0"/>
        <w:spacing w:line="360" w:lineRule="auto"/>
        <w:ind w:left="0" w:leftChars="0" w:right="0" w:rightChars="0"/>
        <w:textAlignment w:val="auto"/>
        <w:rPr>
          <w:b/>
          <w:bCs/>
          <w:sz w:val="30"/>
          <w:szCs w:val="30"/>
          <w:lang w:val="en-US"/>
        </w:rPr>
      </w:pPr>
    </w:p>
    <w:bookmarkEnd w:id="219"/>
    <w:p>
      <w:pPr>
        <w:pageBreakBefore w:val="0"/>
        <w:widowControl w:val="0"/>
        <w:kinsoku/>
        <w:wordWrap/>
        <w:overflowPunct/>
        <w:topLinePunct w:val="0"/>
        <w:bidi w:val="0"/>
        <w:spacing w:line="360" w:lineRule="auto"/>
        <w:ind w:left="0" w:leftChars="0" w:right="0" w:rightChars="0"/>
        <w:jc w:val="center"/>
        <w:textAlignment w:val="auto"/>
        <w:rPr>
          <w:rFonts w:asciiTheme="minorEastAsia" w:hAnsiTheme="minorEastAsia" w:eastAsiaTheme="minorEastAsia" w:cstheme="minorEastAsia"/>
          <w:sz w:val="24"/>
          <w:szCs w:val="24"/>
          <w:lang w:eastAsia="zh-CN"/>
        </w:rPr>
      </w:pPr>
      <w:bookmarkStart w:id="220" w:name="_Toc32660_WPSOffice_Level1"/>
      <w:bookmarkStart w:id="221" w:name="_Toc3391_WPSOffice_Level1"/>
      <w:bookmarkStart w:id="222" w:name="_Toc5705_WPSOffice_Level1"/>
      <w:r>
        <w:rPr>
          <w:rFonts w:hint="eastAsia" w:asciiTheme="minorEastAsia" w:hAnsiTheme="minorEastAsia" w:eastAsiaTheme="minorEastAsia" w:cstheme="minorEastAsia"/>
          <w:b/>
          <w:bCs/>
          <w:sz w:val="32"/>
          <w:szCs w:val="32"/>
          <w:lang w:eastAsia="zh-CN"/>
        </w:rPr>
        <w:t>第三章  采购要求及相关技术参数</w:t>
      </w:r>
      <w:bookmarkEnd w:id="220"/>
      <w:bookmarkEnd w:id="221"/>
    </w:p>
    <w:p>
      <w:pPr>
        <w:pageBreakBefore w:val="0"/>
        <w:widowControl w:val="0"/>
        <w:kinsoku/>
        <w:wordWrap/>
        <w:overflowPunct/>
        <w:topLinePunct w:val="0"/>
        <w:bidi w:val="0"/>
        <w:spacing w:line="360" w:lineRule="auto"/>
        <w:ind w:left="0" w:leftChars="0" w:right="0" w:rightChars="0"/>
        <w:textAlignment w:val="auto"/>
        <w:rPr>
          <w:rFonts w:asciiTheme="minorEastAsia" w:hAnsiTheme="minorEastAsia" w:eastAsiaTheme="minorEastAsia" w:cstheme="minorEastAsia"/>
          <w:sz w:val="24"/>
          <w:szCs w:val="24"/>
          <w:lang w:eastAsia="zh-CN"/>
        </w:rPr>
      </w:pPr>
    </w:p>
    <w:tbl>
      <w:tblPr>
        <w:tblStyle w:val="18"/>
        <w:tblW w:w="897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610"/>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245"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参数</w:t>
            </w:r>
          </w:p>
        </w:tc>
        <w:tc>
          <w:tcPr>
            <w:tcW w:w="1115"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restart"/>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资产管理</w:t>
            </w: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1. 资产分类登记、领用分配、使用状态，维修保养、处置管理</w:t>
            </w:r>
          </w:p>
        </w:tc>
        <w:tc>
          <w:tcPr>
            <w:tcW w:w="1115" w:type="dxa"/>
            <w:vMerge w:val="restart"/>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10用户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2. 盘点管理，对使用中的资产进行盘点，及时校正资产使用情况，</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可以通过手机微信扫描资产条码盘点或者手持PDA扫描资产条码盘点</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3. 资产计提折旧，自动计算资产的使用价值</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4. 资产分权限管理，支持栏位自定义</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5. 资产统计报表</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restart"/>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用品管理</w:t>
            </w: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1. 低值易耗品采购入库，管理数量和金额</w:t>
            </w:r>
          </w:p>
        </w:tc>
        <w:tc>
          <w:tcPr>
            <w:tcW w:w="1115" w:type="dxa"/>
            <w:vMerge w:val="restart"/>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10用户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2. 用品领用，管理物品领用登记</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3. 库存情况：统计物品库存数量和金额，统计使用情况</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restart"/>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手持PDA</w:t>
            </w: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1.全网通4G支持WIFI蓝牙NFC等通信，内存2G+16G</w:t>
            </w:r>
          </w:p>
        </w:tc>
        <w:tc>
          <w:tcPr>
            <w:tcW w:w="1115" w:type="dxa"/>
            <w:vMerge w:val="restart"/>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2.四核1.4GHZ.安卓7.1P65防护等级.6000毫安锂电，指纹解锁。支持二次开发</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3.支持在线、离线扫描查询资产</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4.支持在线、离线扫描盘点资产</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restart"/>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条码打印机</w:t>
            </w: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1.300DPI打印分辨率，打印速度127MM/S</w:t>
            </w:r>
          </w:p>
        </w:tc>
        <w:tc>
          <w:tcPr>
            <w:tcW w:w="1115" w:type="dxa"/>
            <w:vMerge w:val="restart"/>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2.对接软件打印一维或二维条码</w:t>
            </w:r>
          </w:p>
        </w:tc>
        <w:tc>
          <w:tcPr>
            <w:tcW w:w="1115" w:type="dxa"/>
            <w:vMerge w:val="continue"/>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5"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移动端系统</w:t>
            </w:r>
          </w:p>
        </w:tc>
        <w:tc>
          <w:tcPr>
            <w:tcW w:w="6610"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手持PDA端与相应资产管理用品管理软件无缝对接</w:t>
            </w:r>
          </w:p>
        </w:tc>
        <w:tc>
          <w:tcPr>
            <w:tcW w:w="1115" w:type="dxa"/>
            <w:vAlign w:val="center"/>
          </w:tcPr>
          <w:p>
            <w:pPr>
              <w:pageBreakBefore w:val="0"/>
              <w:widowControl w:val="0"/>
              <w:kinsoku/>
              <w:wordWrap/>
              <w:overflowPunct/>
              <w:topLinePunct w:val="0"/>
              <w:autoSpaceDE w:val="0"/>
              <w:autoSpaceDN w:val="0"/>
              <w:bidi w:val="0"/>
              <w:adjustRightInd/>
              <w:spacing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10用户</w:t>
            </w:r>
          </w:p>
        </w:tc>
      </w:tr>
    </w:tbl>
    <w:p>
      <w:pPr>
        <w:pageBreakBefore w:val="0"/>
        <w:widowControl w:val="0"/>
        <w:kinsoku/>
        <w:wordWrap/>
        <w:overflowPunct/>
        <w:topLinePunct w:val="0"/>
        <w:bidi w:val="0"/>
        <w:spacing w:line="360" w:lineRule="auto"/>
        <w:ind w:left="0" w:leftChars="0" w:right="0" w:rightChars="0"/>
        <w:textAlignment w:val="auto"/>
        <w:rPr>
          <w:rFonts w:asciiTheme="minorEastAsia" w:hAnsiTheme="minorEastAsia" w:eastAsiaTheme="minorEastAsia" w:cstheme="minorEastAsia"/>
          <w:sz w:val="24"/>
          <w:szCs w:val="24"/>
          <w:lang w:eastAsia="zh-CN"/>
        </w:rPr>
      </w:pPr>
    </w:p>
    <w:p>
      <w:pPr>
        <w:pageBreakBefore w:val="0"/>
        <w:widowControl w:val="0"/>
        <w:kinsoku/>
        <w:wordWrap/>
        <w:overflowPunct/>
        <w:topLinePunct w:val="0"/>
        <w:bidi w:val="0"/>
        <w:spacing w:line="360" w:lineRule="auto"/>
        <w:ind w:left="0" w:leftChars="0" w:right="0" w:rightChars="0"/>
        <w:jc w:val="both"/>
        <w:textAlignment w:val="auto"/>
        <w:rPr>
          <w:rFonts w:asciiTheme="minorEastAsia" w:hAnsiTheme="minorEastAsia" w:eastAsiaTheme="minorEastAsia" w:cstheme="minorEastAsia"/>
          <w:b/>
          <w:bCs/>
          <w:sz w:val="32"/>
          <w:szCs w:val="32"/>
          <w:lang w:eastAsia="zh-CN"/>
        </w:rPr>
      </w:pPr>
    </w:p>
    <w:p>
      <w:pPr>
        <w:pStyle w:val="9"/>
        <w:pageBreakBefore w:val="0"/>
        <w:widowControl w:val="0"/>
        <w:kinsoku/>
        <w:wordWrap/>
        <w:overflowPunct/>
        <w:topLinePunct w:val="0"/>
        <w:bidi w:val="0"/>
        <w:spacing w:line="360" w:lineRule="auto"/>
        <w:ind w:left="0" w:leftChars="0" w:right="0" w:rightChars="0"/>
        <w:jc w:val="center"/>
        <w:textAlignment w:val="auto"/>
        <w:outlineLvl w:val="0"/>
      </w:pPr>
      <w:bookmarkStart w:id="223" w:name="_Toc16642_WPSOffice_Level1"/>
      <w:r>
        <w:rPr>
          <w:rFonts w:hint="eastAsia"/>
          <w:b/>
          <w:bCs/>
          <w:sz w:val="30"/>
          <w:szCs w:val="30"/>
          <w:lang w:val="en-US"/>
        </w:rPr>
        <w:t>第四章</w:t>
      </w:r>
      <w:r>
        <w:rPr>
          <w:b/>
          <w:bCs/>
          <w:sz w:val="30"/>
          <w:szCs w:val="30"/>
          <w:lang w:val="en-US"/>
        </w:rPr>
        <w:t xml:space="preserve"> </w:t>
      </w:r>
      <w:r>
        <w:rPr>
          <w:rFonts w:hint="eastAsia"/>
          <w:b/>
          <w:bCs/>
          <w:sz w:val="30"/>
          <w:szCs w:val="30"/>
          <w:lang w:val="en-US"/>
        </w:rPr>
        <w:t>评标办法</w:t>
      </w:r>
      <w:bookmarkEnd w:id="222"/>
      <w:bookmarkEnd w:id="223"/>
    </w:p>
    <w:p>
      <w:pPr>
        <w:pStyle w:val="9"/>
        <w:pageBreakBefore w:val="0"/>
        <w:widowControl w:val="0"/>
        <w:kinsoku/>
        <w:wordWrap/>
        <w:overflowPunct/>
        <w:topLinePunct w:val="0"/>
        <w:bidi w:val="0"/>
        <w:spacing w:line="360" w:lineRule="auto"/>
        <w:ind w:left="0" w:leftChars="0" w:right="0" w:rightChars="0"/>
        <w:textAlignment w:val="auto"/>
      </w:pPr>
      <w:bookmarkStart w:id="224" w:name="_Toc11294_WPSOffice_Level2"/>
    </w:p>
    <w:p>
      <w:pPr>
        <w:pStyle w:val="9"/>
        <w:pageBreakBefore w:val="0"/>
        <w:widowControl w:val="0"/>
        <w:numPr>
          <w:ilvl w:val="0"/>
          <w:numId w:val="2"/>
        </w:numPr>
        <w:kinsoku/>
        <w:wordWrap/>
        <w:overflowPunct/>
        <w:topLinePunct w:val="0"/>
        <w:bidi w:val="0"/>
        <w:spacing w:line="360" w:lineRule="auto"/>
        <w:ind w:left="0" w:leftChars="0" w:right="0" w:rightChars="0"/>
        <w:textAlignment w:val="auto"/>
        <w:outlineLvl w:val="1"/>
        <w:rPr>
          <w:b/>
          <w:bCs/>
        </w:rPr>
      </w:pPr>
      <w:bookmarkStart w:id="225" w:name="_Toc2004_WPSOffice_Level2"/>
      <w:bookmarkStart w:id="226" w:name="_Toc12856_WPSOffice_Level2"/>
      <w:r>
        <w:rPr>
          <w:rFonts w:hint="eastAsia"/>
          <w:b/>
          <w:bCs/>
        </w:rPr>
        <w:t>评定办法前附表</w:t>
      </w:r>
      <w:bookmarkEnd w:id="224"/>
      <w:bookmarkEnd w:id="225"/>
      <w:bookmarkEnd w:id="226"/>
    </w:p>
    <w:tbl>
      <w:tblPr>
        <w:tblStyle w:val="17"/>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45"/>
        <w:gridCol w:w="1984"/>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15" w:type="dxa"/>
            <w:gridSpan w:val="2"/>
            <w:vAlign w:val="center"/>
          </w:tcPr>
          <w:p>
            <w:pPr>
              <w:pStyle w:val="9"/>
              <w:pageBreakBefore w:val="0"/>
              <w:widowControl w:val="0"/>
              <w:kinsoku/>
              <w:wordWrap/>
              <w:overflowPunct/>
              <w:topLinePunct w:val="0"/>
              <w:bidi w:val="0"/>
              <w:spacing w:line="360" w:lineRule="auto"/>
              <w:ind w:left="0" w:leftChars="0" w:right="0" w:rightChars="0"/>
              <w:jc w:val="center"/>
              <w:textAlignment w:val="auto"/>
            </w:pPr>
            <w:r>
              <w:rPr>
                <w:rFonts w:hint="eastAsia"/>
              </w:rPr>
              <w:t>序号</w:t>
            </w:r>
          </w:p>
        </w:tc>
        <w:tc>
          <w:tcPr>
            <w:tcW w:w="1984"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pPr>
            <w:r>
              <w:rPr>
                <w:rFonts w:hint="eastAsia"/>
              </w:rPr>
              <w:t>评审因素</w:t>
            </w:r>
          </w:p>
        </w:tc>
        <w:tc>
          <w:tcPr>
            <w:tcW w:w="5816" w:type="dxa"/>
            <w:vAlign w:val="center"/>
          </w:tcPr>
          <w:p>
            <w:pPr>
              <w:pStyle w:val="9"/>
              <w:pageBreakBefore w:val="0"/>
              <w:widowControl w:val="0"/>
              <w:kinsoku/>
              <w:wordWrap/>
              <w:overflowPunct/>
              <w:topLinePunct w:val="0"/>
              <w:bidi w:val="0"/>
              <w:spacing w:line="360" w:lineRule="auto"/>
              <w:ind w:left="0" w:leftChars="0" w:right="0" w:rightChars="0"/>
              <w:jc w:val="center"/>
              <w:textAlignment w:val="auto"/>
            </w:pPr>
            <w:r>
              <w:rPr>
                <w:rFonts w:hint="eastAsi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870" w:type="dxa"/>
            <w:vMerge w:val="restart"/>
            <w:vAlign w:val="center"/>
          </w:tcPr>
          <w:p>
            <w:pPr>
              <w:pStyle w:val="9"/>
              <w:pageBreakBefore w:val="0"/>
              <w:widowControl w:val="0"/>
              <w:kinsoku/>
              <w:wordWrap/>
              <w:overflowPunct/>
              <w:topLinePunct w:val="0"/>
              <w:bidi w:val="0"/>
              <w:spacing w:line="360" w:lineRule="auto"/>
              <w:ind w:left="0" w:leftChars="0" w:right="0" w:rightChars="0"/>
              <w:textAlignment w:val="auto"/>
            </w:pPr>
            <w:r>
              <w:t>1.1</w:t>
            </w:r>
          </w:p>
        </w:tc>
        <w:tc>
          <w:tcPr>
            <w:tcW w:w="945" w:type="dxa"/>
            <w:vMerge w:val="restart"/>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符合性审查标准</w:t>
            </w:r>
          </w:p>
        </w:tc>
        <w:tc>
          <w:tcPr>
            <w:tcW w:w="1984"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投标报价</w:t>
            </w:r>
          </w:p>
        </w:tc>
        <w:tc>
          <w:tcPr>
            <w:tcW w:w="5816"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每一种采购内容是否只有一个报价；</w:t>
            </w:r>
          </w:p>
          <w:p>
            <w:pPr>
              <w:pStyle w:val="9"/>
              <w:pageBreakBefore w:val="0"/>
              <w:widowControl w:val="0"/>
              <w:kinsoku/>
              <w:wordWrap/>
              <w:overflowPunct/>
              <w:topLinePunct w:val="0"/>
              <w:bidi w:val="0"/>
              <w:spacing w:line="360" w:lineRule="auto"/>
              <w:ind w:left="0" w:leftChars="0" w:right="0" w:rightChars="0"/>
              <w:textAlignment w:val="auto"/>
            </w:pPr>
            <w:r>
              <w:rPr>
                <w:rFonts w:hint="eastAsia"/>
              </w:rPr>
              <w:t>投标金额是否超过采购预算；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870" w:type="dxa"/>
            <w:vMerge w:val="continue"/>
            <w:vAlign w:val="center"/>
          </w:tcPr>
          <w:p>
            <w:pPr>
              <w:pStyle w:val="9"/>
              <w:pageBreakBefore w:val="0"/>
              <w:widowControl w:val="0"/>
              <w:kinsoku/>
              <w:wordWrap/>
              <w:overflowPunct/>
              <w:topLinePunct w:val="0"/>
              <w:bidi w:val="0"/>
              <w:spacing w:line="360" w:lineRule="auto"/>
              <w:ind w:left="0" w:leftChars="0" w:right="0" w:rightChars="0"/>
              <w:textAlignment w:val="auto"/>
            </w:pPr>
          </w:p>
        </w:tc>
        <w:tc>
          <w:tcPr>
            <w:tcW w:w="945" w:type="dxa"/>
            <w:vMerge w:val="continue"/>
            <w:vAlign w:val="center"/>
          </w:tcPr>
          <w:p>
            <w:pPr>
              <w:pStyle w:val="9"/>
              <w:pageBreakBefore w:val="0"/>
              <w:widowControl w:val="0"/>
              <w:kinsoku/>
              <w:wordWrap/>
              <w:overflowPunct/>
              <w:topLinePunct w:val="0"/>
              <w:bidi w:val="0"/>
              <w:spacing w:line="360" w:lineRule="auto"/>
              <w:ind w:left="0" w:leftChars="0" w:right="0" w:rightChars="0"/>
              <w:textAlignment w:val="auto"/>
            </w:pPr>
          </w:p>
        </w:tc>
        <w:tc>
          <w:tcPr>
            <w:tcW w:w="1984"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投标函签字盖章</w:t>
            </w:r>
          </w:p>
        </w:tc>
        <w:tc>
          <w:tcPr>
            <w:tcW w:w="5816"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是否有法定代表人或其委托代理人签字或加盖单位公章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70" w:type="dxa"/>
            <w:vMerge w:val="continue"/>
            <w:vAlign w:val="center"/>
          </w:tcPr>
          <w:p>
            <w:pPr>
              <w:pStyle w:val="9"/>
              <w:pageBreakBefore w:val="0"/>
              <w:widowControl w:val="0"/>
              <w:kinsoku/>
              <w:wordWrap/>
              <w:overflowPunct/>
              <w:topLinePunct w:val="0"/>
              <w:bidi w:val="0"/>
              <w:spacing w:line="360" w:lineRule="auto"/>
              <w:ind w:left="0" w:leftChars="0" w:right="0" w:rightChars="0"/>
              <w:textAlignment w:val="auto"/>
            </w:pPr>
          </w:p>
        </w:tc>
        <w:tc>
          <w:tcPr>
            <w:tcW w:w="945" w:type="dxa"/>
            <w:vMerge w:val="continue"/>
            <w:vAlign w:val="center"/>
          </w:tcPr>
          <w:p>
            <w:pPr>
              <w:pStyle w:val="9"/>
              <w:pageBreakBefore w:val="0"/>
              <w:widowControl w:val="0"/>
              <w:kinsoku/>
              <w:wordWrap/>
              <w:overflowPunct/>
              <w:topLinePunct w:val="0"/>
              <w:bidi w:val="0"/>
              <w:spacing w:line="360" w:lineRule="auto"/>
              <w:ind w:left="0" w:leftChars="0" w:right="0" w:rightChars="0"/>
              <w:textAlignment w:val="auto"/>
            </w:pPr>
          </w:p>
        </w:tc>
        <w:tc>
          <w:tcPr>
            <w:tcW w:w="1984"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采购需求响应</w:t>
            </w:r>
          </w:p>
        </w:tc>
        <w:tc>
          <w:tcPr>
            <w:tcW w:w="5816"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是否满足竞争性磋商文件采购项目要求的所有相关规定；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0" w:type="dxa"/>
            <w:vAlign w:val="center"/>
          </w:tcPr>
          <w:p>
            <w:pPr>
              <w:pStyle w:val="9"/>
              <w:pageBreakBefore w:val="0"/>
              <w:widowControl w:val="0"/>
              <w:kinsoku/>
              <w:wordWrap/>
              <w:overflowPunct/>
              <w:topLinePunct w:val="0"/>
              <w:bidi w:val="0"/>
              <w:spacing w:line="360" w:lineRule="auto"/>
              <w:ind w:left="0" w:leftChars="0" w:right="0" w:rightChars="0"/>
              <w:textAlignment w:val="auto"/>
            </w:pPr>
            <w:r>
              <w:t>1.2</w:t>
            </w:r>
          </w:p>
        </w:tc>
        <w:tc>
          <w:tcPr>
            <w:tcW w:w="945"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资格性审查标准</w:t>
            </w:r>
          </w:p>
        </w:tc>
        <w:tc>
          <w:tcPr>
            <w:tcW w:w="1984"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资格要求</w:t>
            </w:r>
          </w:p>
        </w:tc>
        <w:tc>
          <w:tcPr>
            <w:tcW w:w="5816" w:type="dxa"/>
            <w:vAlign w:val="center"/>
          </w:tcPr>
          <w:p>
            <w:pPr>
              <w:pStyle w:val="9"/>
              <w:pageBreakBefore w:val="0"/>
              <w:widowControl w:val="0"/>
              <w:kinsoku/>
              <w:wordWrap/>
              <w:overflowPunct/>
              <w:topLinePunct w:val="0"/>
              <w:bidi w:val="0"/>
              <w:spacing w:line="360" w:lineRule="auto"/>
              <w:ind w:left="0" w:leftChars="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磋商供应商资格条件：</w:t>
            </w:r>
          </w:p>
          <w:p>
            <w:pPr>
              <w:pStyle w:val="9"/>
              <w:pageBreakBefore w:val="0"/>
              <w:widowControl w:val="0"/>
              <w:kinsoku/>
              <w:wordWrap/>
              <w:overflowPunct/>
              <w:topLinePunct w:val="0"/>
              <w:bidi w:val="0"/>
              <w:spacing w:line="360" w:lineRule="auto"/>
              <w:ind w:left="0" w:leftChars="0" w:right="0" w:right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1、供应商须在中国工商行政管理机关注册登记并取得营业执照，经营范围具备相关内容；</w:t>
            </w:r>
          </w:p>
          <w:p>
            <w:pPr>
              <w:pStyle w:val="9"/>
              <w:pageBreakBefore w:val="0"/>
              <w:widowControl w:val="0"/>
              <w:kinsoku/>
              <w:wordWrap/>
              <w:overflowPunct/>
              <w:topLinePunct w:val="0"/>
              <w:bidi w:val="0"/>
              <w:spacing w:line="360" w:lineRule="auto"/>
              <w:ind w:left="0" w:leftChars="0" w:right="0" w:right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2、有依法缴纳社会保障资金（近半年）的良好记录；</w:t>
            </w:r>
          </w:p>
          <w:p>
            <w:pPr>
              <w:pStyle w:val="9"/>
              <w:pageBreakBefore w:val="0"/>
              <w:widowControl w:val="0"/>
              <w:kinsoku/>
              <w:wordWrap/>
              <w:overflowPunct/>
              <w:topLinePunct w:val="0"/>
              <w:bidi w:val="0"/>
              <w:spacing w:line="360" w:lineRule="auto"/>
              <w:ind w:left="0" w:leftChars="0" w:right="0" w:right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3、在经营活动中没有重大违法记录（供应商需自行出具签字盖章的承诺函）； </w:t>
            </w:r>
          </w:p>
          <w:p>
            <w:pPr>
              <w:pStyle w:val="9"/>
              <w:pageBreakBefore w:val="0"/>
              <w:widowControl w:val="0"/>
              <w:kinsoku/>
              <w:wordWrap/>
              <w:overflowPunct/>
              <w:topLinePunct w:val="0"/>
              <w:bidi w:val="0"/>
              <w:spacing w:line="360" w:lineRule="auto"/>
              <w:ind w:left="0" w:leftChars="0" w:right="0" w:right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4.供应商具有软件所有权或具有代理软件公司的产品销售授权；  </w:t>
            </w:r>
          </w:p>
          <w:p>
            <w:pPr>
              <w:pStyle w:val="9"/>
              <w:pageBreakBefore w:val="0"/>
              <w:widowControl w:val="0"/>
              <w:kinsoku/>
              <w:wordWrap/>
              <w:overflowPunct/>
              <w:topLinePunct w:val="0"/>
              <w:bidi w:val="0"/>
              <w:spacing w:line="360" w:lineRule="auto"/>
              <w:ind w:left="0" w:leftChars="0" w:right="0" w:rightChars="0"/>
              <w:textAlignment w:val="auto"/>
            </w:pPr>
            <w:r>
              <w:rPr>
                <w:rFonts w:hint="eastAsia" w:asciiTheme="minorEastAsia" w:hAnsiTheme="minorEastAsia" w:eastAsiaTheme="minorEastAsia" w:cstheme="minorEastAsia"/>
                <w:sz w:val="24"/>
                <w:szCs w:val="24"/>
                <w:lang w:eastAsia="zh-CN"/>
              </w:rPr>
              <w:t>5、本项目不接受联合体方式投标。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70" w:type="dxa"/>
            <w:vAlign w:val="center"/>
          </w:tcPr>
          <w:p>
            <w:pPr>
              <w:pStyle w:val="9"/>
              <w:pageBreakBefore w:val="0"/>
              <w:widowControl w:val="0"/>
              <w:kinsoku/>
              <w:wordWrap/>
              <w:overflowPunct/>
              <w:topLinePunct w:val="0"/>
              <w:bidi w:val="0"/>
              <w:spacing w:line="360" w:lineRule="auto"/>
              <w:ind w:left="0" w:leftChars="0" w:right="0" w:rightChars="0"/>
              <w:textAlignment w:val="auto"/>
            </w:pPr>
            <w:r>
              <w:t>1.3</w:t>
            </w:r>
          </w:p>
        </w:tc>
        <w:tc>
          <w:tcPr>
            <w:tcW w:w="945"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确定响应供应商进行最后报价</w:t>
            </w:r>
          </w:p>
        </w:tc>
        <w:tc>
          <w:tcPr>
            <w:tcW w:w="1984" w:type="dxa"/>
            <w:vAlign w:val="center"/>
          </w:tcPr>
          <w:p>
            <w:pPr>
              <w:pStyle w:val="9"/>
              <w:pageBreakBefore w:val="0"/>
              <w:widowControl w:val="0"/>
              <w:kinsoku/>
              <w:wordWrap/>
              <w:overflowPunct/>
              <w:topLinePunct w:val="0"/>
              <w:bidi w:val="0"/>
              <w:spacing w:line="360" w:lineRule="auto"/>
              <w:ind w:left="0" w:leftChars="0" w:right="0" w:rightChars="0"/>
              <w:textAlignment w:val="auto"/>
              <w:rPr>
                <w:rFonts w:hint="default" w:eastAsia="宋体"/>
                <w:lang w:val="en-US" w:eastAsia="zh-CN"/>
              </w:rPr>
            </w:pPr>
            <w:r>
              <w:rPr>
                <w:rFonts w:hint="eastAsia"/>
                <w:lang w:val="en-US" w:eastAsia="zh-CN"/>
              </w:rPr>
              <w:t>成交供应商确定</w:t>
            </w:r>
          </w:p>
        </w:tc>
        <w:tc>
          <w:tcPr>
            <w:tcW w:w="5816"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在磋商结束后，磋商小组向所有通过初步审核的响应供应商发出报价书，并要求其在规定时间内提交最后报价；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870" w:type="dxa"/>
            <w:vAlign w:val="center"/>
          </w:tcPr>
          <w:p>
            <w:pPr>
              <w:pStyle w:val="9"/>
              <w:pageBreakBefore w:val="0"/>
              <w:widowControl w:val="0"/>
              <w:kinsoku/>
              <w:wordWrap/>
              <w:overflowPunct/>
              <w:topLinePunct w:val="0"/>
              <w:bidi w:val="0"/>
              <w:spacing w:line="360" w:lineRule="auto"/>
              <w:ind w:left="0" w:leftChars="0" w:right="0" w:rightChars="0"/>
              <w:textAlignment w:val="auto"/>
            </w:pPr>
            <w:r>
              <w:t>2</w:t>
            </w:r>
          </w:p>
        </w:tc>
        <w:tc>
          <w:tcPr>
            <w:tcW w:w="945"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评定</w:t>
            </w:r>
          </w:p>
          <w:p>
            <w:pPr>
              <w:pStyle w:val="9"/>
              <w:pageBreakBefore w:val="0"/>
              <w:widowControl w:val="0"/>
              <w:kinsoku/>
              <w:wordWrap/>
              <w:overflowPunct/>
              <w:topLinePunct w:val="0"/>
              <w:bidi w:val="0"/>
              <w:spacing w:line="360" w:lineRule="auto"/>
              <w:ind w:left="0" w:leftChars="0" w:right="0" w:rightChars="0"/>
              <w:textAlignment w:val="auto"/>
            </w:pPr>
            <w:r>
              <w:rPr>
                <w:rFonts w:hint="eastAsia"/>
              </w:rPr>
              <w:t>办法</w:t>
            </w:r>
          </w:p>
        </w:tc>
        <w:tc>
          <w:tcPr>
            <w:tcW w:w="1984"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综合评分法</w:t>
            </w:r>
          </w:p>
        </w:tc>
        <w:tc>
          <w:tcPr>
            <w:tcW w:w="5816" w:type="dxa"/>
            <w:vAlign w:val="center"/>
          </w:tcPr>
          <w:p>
            <w:pPr>
              <w:pStyle w:val="9"/>
              <w:pageBreakBefore w:val="0"/>
              <w:widowControl w:val="0"/>
              <w:kinsoku/>
              <w:wordWrap/>
              <w:overflowPunct/>
              <w:topLinePunct w:val="0"/>
              <w:bidi w:val="0"/>
              <w:spacing w:line="360" w:lineRule="auto"/>
              <w:ind w:left="0" w:leftChars="0" w:right="0" w:rightChars="0"/>
              <w:textAlignment w:val="auto"/>
            </w:pPr>
            <w:r>
              <w:rPr>
                <w:rFonts w:hint="eastAsia"/>
              </w:rPr>
              <w:t>磋商小组对通过初步性审查和资格性审查的供应商按照《评分表》要求对其竞争性</w:t>
            </w:r>
            <w:r>
              <w:rPr>
                <w:rFonts w:hint="eastAsia"/>
                <w:lang w:val="en-US"/>
              </w:rPr>
              <w:t>磋商</w:t>
            </w:r>
            <w:r>
              <w:rPr>
                <w:rFonts w:hint="eastAsia"/>
              </w:rPr>
              <w:t>响应文件进行打分；《评分表》</w:t>
            </w:r>
          </w:p>
        </w:tc>
      </w:tr>
    </w:tbl>
    <w:p>
      <w:pPr>
        <w:pStyle w:val="9"/>
        <w:pageBreakBefore w:val="0"/>
        <w:widowControl w:val="0"/>
        <w:kinsoku/>
        <w:wordWrap/>
        <w:overflowPunct/>
        <w:topLinePunct w:val="0"/>
        <w:bidi w:val="0"/>
        <w:spacing w:line="360" w:lineRule="auto"/>
        <w:ind w:left="0" w:leftChars="0" w:right="0" w:rightChars="0"/>
        <w:textAlignment w:val="auto"/>
        <w:rPr>
          <w:b/>
          <w:bCs/>
        </w:rPr>
      </w:pPr>
      <w:bookmarkStart w:id="227" w:name="_Toc7049_WPSOffice_Level2"/>
    </w:p>
    <w:p>
      <w:pPr>
        <w:pStyle w:val="9"/>
        <w:pageBreakBefore w:val="0"/>
        <w:widowControl w:val="0"/>
        <w:kinsoku/>
        <w:wordWrap/>
        <w:overflowPunct/>
        <w:topLinePunct w:val="0"/>
        <w:bidi w:val="0"/>
        <w:spacing w:line="360" w:lineRule="auto"/>
        <w:ind w:left="0" w:leftChars="0" w:right="0" w:rightChars="0"/>
        <w:textAlignment w:val="auto"/>
        <w:rPr>
          <w:b/>
          <w:bCs/>
        </w:rPr>
      </w:pPr>
    </w:p>
    <w:p>
      <w:pPr>
        <w:pStyle w:val="9"/>
        <w:pageBreakBefore w:val="0"/>
        <w:widowControl w:val="0"/>
        <w:kinsoku/>
        <w:wordWrap/>
        <w:overflowPunct/>
        <w:topLinePunct w:val="0"/>
        <w:bidi w:val="0"/>
        <w:spacing w:line="360" w:lineRule="auto"/>
        <w:ind w:left="0" w:leftChars="0" w:right="0" w:rightChars="0"/>
        <w:textAlignment w:val="auto"/>
        <w:outlineLvl w:val="1"/>
        <w:rPr>
          <w:b/>
          <w:bCs/>
        </w:rPr>
      </w:pPr>
      <w:bookmarkStart w:id="228" w:name="_Toc2816_WPSOffice_Level2"/>
      <w:bookmarkStart w:id="229" w:name="_Toc28109_WPSOffice_Level2"/>
      <w:r>
        <w:rPr>
          <w:rFonts w:hint="eastAsia"/>
          <w:b/>
          <w:bCs/>
        </w:rPr>
        <w:t>二、评定办法</w:t>
      </w:r>
      <w:bookmarkEnd w:id="227"/>
      <w:bookmarkEnd w:id="228"/>
      <w:bookmarkEnd w:id="229"/>
    </w:p>
    <w:p>
      <w:pPr>
        <w:pStyle w:val="9"/>
        <w:pageBreakBefore w:val="0"/>
        <w:widowControl w:val="0"/>
        <w:kinsoku/>
        <w:wordWrap/>
        <w:overflowPunct/>
        <w:topLinePunct w:val="0"/>
        <w:bidi w:val="0"/>
        <w:spacing w:line="360" w:lineRule="auto"/>
        <w:ind w:left="0" w:leftChars="0" w:right="0" w:rightChars="0"/>
        <w:textAlignment w:val="auto"/>
        <w:rPr>
          <w:b/>
          <w:bCs/>
        </w:rPr>
      </w:pPr>
      <w:r>
        <w:rPr>
          <w:b/>
          <w:bCs/>
        </w:rPr>
        <w:t>1.</w:t>
      </w:r>
      <w:r>
        <w:rPr>
          <w:rFonts w:hint="eastAsia"/>
          <w:b/>
          <w:bCs/>
        </w:rPr>
        <w:t>磋商小组</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1.1</w:t>
      </w:r>
      <w:r>
        <w:rPr>
          <w:rFonts w:hint="eastAsia"/>
        </w:rPr>
        <w:t>磋商小组组成：磋商小组由采购人代表和评审专家共</w:t>
      </w:r>
      <w:r>
        <w:t xml:space="preserve">3 </w:t>
      </w:r>
      <w:r>
        <w:rPr>
          <w:rFonts w:hint="eastAsia"/>
        </w:rPr>
        <w:t>人组成；</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1.2</w:t>
      </w:r>
      <w:r>
        <w:rPr>
          <w:rFonts w:hint="eastAsia"/>
        </w:rPr>
        <w:t>磋商小组组长：磋商小组设组长</w:t>
      </w:r>
      <w:r>
        <w:t>1</w:t>
      </w:r>
      <w:r>
        <w:rPr>
          <w:rFonts w:hint="eastAsia"/>
        </w:rPr>
        <w:t>名，由磋商小组全体成员共同推选产生；磋商小组组长负责组织评标活动，与其他评委有同等表决权；</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lang w:val="en-US"/>
        </w:rPr>
        <w:t>1.3</w:t>
      </w:r>
      <w:r>
        <w:rPr>
          <w:rFonts w:hint="eastAsia"/>
        </w:rPr>
        <w:t>磋商小组负责评定工作，并根据磋商文件的要求对磋商文件进行审查、质疑、评估和比较；</w:t>
      </w:r>
    </w:p>
    <w:p>
      <w:pPr>
        <w:pStyle w:val="9"/>
        <w:pageBreakBefore w:val="0"/>
        <w:widowControl w:val="0"/>
        <w:kinsoku/>
        <w:wordWrap/>
        <w:overflowPunct/>
        <w:topLinePunct w:val="0"/>
        <w:bidi w:val="0"/>
        <w:spacing w:line="360" w:lineRule="auto"/>
        <w:ind w:left="0" w:leftChars="0" w:right="0" w:rightChars="0"/>
        <w:textAlignment w:val="auto"/>
        <w:rPr>
          <w:b/>
          <w:bCs/>
        </w:rPr>
      </w:pPr>
      <w:r>
        <w:rPr>
          <w:b/>
          <w:bCs/>
        </w:rPr>
        <w:t>2.</w:t>
      </w:r>
      <w:r>
        <w:rPr>
          <w:rFonts w:hint="eastAsia"/>
          <w:b/>
          <w:bCs/>
        </w:rPr>
        <w:t>初步审查标准</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2.1</w:t>
      </w:r>
      <w:r>
        <w:rPr>
          <w:rFonts w:hint="eastAsia"/>
        </w:rPr>
        <w:t>资格性审查标准：见评定办法前附表；</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2.2</w:t>
      </w:r>
      <w:r>
        <w:rPr>
          <w:rFonts w:hint="eastAsia"/>
        </w:rPr>
        <w:t>符合性审查标准：见评定办法前附表；</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2.3</w:t>
      </w:r>
      <w:r>
        <w:rPr>
          <w:rFonts w:hint="eastAsia"/>
        </w:rPr>
        <w:t>确定响应供应商进行最后报价：见评定方法前附表；</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2.4</w:t>
      </w:r>
      <w:r>
        <w:rPr>
          <w:rFonts w:hint="eastAsia"/>
          <w:color w:val="000000" w:themeColor="text1"/>
          <w14:textFill>
            <w14:solidFill>
              <w14:schemeClr w14:val="tx1"/>
            </w14:solidFill>
          </w14:textFill>
        </w:rPr>
        <w:t>评定办法：见评定办法前附表；</w:t>
      </w:r>
    </w:p>
    <w:p>
      <w:pPr>
        <w:pStyle w:val="9"/>
        <w:pageBreakBefore w:val="0"/>
        <w:widowControl w:val="0"/>
        <w:kinsoku/>
        <w:wordWrap/>
        <w:overflowPunct/>
        <w:topLinePunct w:val="0"/>
        <w:bidi w:val="0"/>
        <w:spacing w:line="360" w:lineRule="auto"/>
        <w:ind w:left="0" w:leftChars="0" w:right="0" w:rightChars="0"/>
        <w:textAlignment w:val="auto"/>
        <w:rPr>
          <w:b/>
          <w:bCs/>
          <w:color w:val="000000" w:themeColor="text1"/>
          <w14:textFill>
            <w14:solidFill>
              <w14:schemeClr w14:val="tx1"/>
            </w14:solidFill>
          </w14:textFill>
        </w:rPr>
      </w:pPr>
      <w:r>
        <w:rPr>
          <w:b/>
          <w:bCs/>
          <w:color w:val="000000" w:themeColor="text1"/>
          <w:lang w:val="en-US"/>
          <w14:textFill>
            <w14:solidFill>
              <w14:schemeClr w14:val="tx1"/>
            </w14:solidFill>
          </w14:textFill>
        </w:rPr>
        <w:t>3.</w:t>
      </w:r>
      <w:r>
        <w:rPr>
          <w:rFonts w:hint="eastAsia"/>
          <w:b/>
          <w:bCs/>
          <w:color w:val="000000" w:themeColor="text1"/>
          <w14:textFill>
            <w14:solidFill>
              <w14:schemeClr w14:val="tx1"/>
            </w14:solidFill>
          </w14:textFill>
        </w:rPr>
        <w:t>评定方法</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3.1</w:t>
      </w:r>
      <w:r>
        <w:rPr>
          <w:rFonts w:hint="eastAsia"/>
          <w:color w:val="000000" w:themeColor="text1"/>
          <w14:textFill>
            <w14:solidFill>
              <w14:schemeClr w14:val="tx1"/>
            </w14:solidFill>
          </w14:textFill>
        </w:rPr>
        <w:t>具体量化打分标准</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3.1.1</w:t>
      </w:r>
      <w:r>
        <w:rPr>
          <w:rFonts w:hint="eastAsia"/>
          <w:color w:val="000000" w:themeColor="text1"/>
          <w14:textFill>
            <w14:solidFill>
              <w14:schemeClr w14:val="tx1"/>
            </w14:solidFill>
          </w14:textFill>
        </w:rPr>
        <w:t>本次评定指标设置为报价、商务、技术三部分，三部分权分别为</w:t>
      </w:r>
      <w:r>
        <w:rPr>
          <w:color w:val="000000" w:themeColor="text1"/>
          <w:lang w:val="en-US"/>
          <w14:textFill>
            <w14:solidFill>
              <w14:schemeClr w14:val="tx1"/>
            </w14:solidFill>
          </w14:textFill>
        </w:rPr>
        <w:t>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3.1.2</w:t>
      </w:r>
      <w:r>
        <w:rPr>
          <w:rFonts w:hint="eastAsia"/>
          <w:color w:val="000000" w:themeColor="text1"/>
          <w14:textFill>
            <w14:solidFill>
              <w14:schemeClr w14:val="tx1"/>
            </w14:solidFill>
          </w14:textFill>
        </w:rPr>
        <w:t>报价部分：确定为实质上响应磋商文件要求的供应商最后报价；</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rPr>
          <w:color w:val="000000" w:themeColor="text1"/>
          <w14:textFill>
            <w14:solidFill>
              <w14:schemeClr w14:val="tx1"/>
            </w14:solidFill>
          </w14:textFill>
        </w:rPr>
        <w:t>3.1.3</w:t>
      </w:r>
      <w:r>
        <w:rPr>
          <w:rFonts w:hint="eastAsia"/>
          <w:color w:val="000000" w:themeColor="text1"/>
          <w14:textFill>
            <w14:solidFill>
              <w14:schemeClr w14:val="tx1"/>
            </w14:solidFill>
          </w14:textFill>
        </w:rPr>
        <w:t>技术部分：磋商小组只对确定为实质上响应磋商文件要</w:t>
      </w:r>
      <w:r>
        <w:rPr>
          <w:rFonts w:hint="eastAsia"/>
        </w:rPr>
        <w:t>求的投标按照评分标准进行打分，详见评分细则；</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3.1.4</w:t>
      </w:r>
      <w:r>
        <w:rPr>
          <w:rFonts w:hint="eastAsia"/>
        </w:rPr>
        <w:t>商务部分：磋商小组只对确定为实质上响应磋商文件要求的投标按照评分标准进行打分，详见评分细则；</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3.1.5</w:t>
      </w:r>
      <w:r>
        <w:rPr>
          <w:rFonts w:hint="eastAsia"/>
        </w:rPr>
        <w:t>每个评委须认真审查各供应商的磋商文件以及需打分的每个项目，且按要求打分，评委评分表采用记名方式；</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3.2</w:t>
      </w:r>
      <w:r>
        <w:rPr>
          <w:rFonts w:hint="eastAsia"/>
        </w:rPr>
        <w:t>其它见评定办法前附表；</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3.3</w:t>
      </w:r>
      <w:r>
        <w:rPr>
          <w:rFonts w:hint="eastAsia"/>
        </w:rPr>
        <w:t>综合评分法：见《评分表》；</w:t>
      </w:r>
    </w:p>
    <w:p>
      <w:pPr>
        <w:pStyle w:val="9"/>
        <w:pageBreakBefore w:val="0"/>
        <w:widowControl w:val="0"/>
        <w:kinsoku/>
        <w:wordWrap/>
        <w:overflowPunct/>
        <w:topLinePunct w:val="0"/>
        <w:bidi w:val="0"/>
        <w:spacing w:line="360" w:lineRule="auto"/>
        <w:ind w:left="0" w:leftChars="0" w:right="0" w:rightChars="0"/>
        <w:textAlignment w:val="auto"/>
        <w:rPr>
          <w:b/>
          <w:bCs/>
        </w:rPr>
      </w:pPr>
      <w:r>
        <w:rPr>
          <w:b/>
          <w:bCs/>
        </w:rPr>
        <w:t>4.</w:t>
      </w:r>
      <w:r>
        <w:rPr>
          <w:rFonts w:hint="eastAsia"/>
          <w:b/>
          <w:bCs/>
        </w:rPr>
        <w:t>评定结果</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4.1</w:t>
      </w:r>
      <w:r>
        <w:rPr>
          <w:rFonts w:hint="eastAsia"/>
        </w:rPr>
        <w:t>经磋商确定最终采购需求和提交最后报价的供应商后，由磋商小组采用综合评分法对提交最后报价的供应商的响应文件和最后报价进行综合评分；</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4.2</w:t>
      </w:r>
      <w:r>
        <w:rPr>
          <w:rFonts w:hint="eastAsia"/>
        </w:rPr>
        <w:t>计分办法</w:t>
      </w:r>
    </w:p>
    <w:p>
      <w:pPr>
        <w:pStyle w:val="9"/>
        <w:pageBreakBefore w:val="0"/>
        <w:widowControl w:val="0"/>
        <w:kinsoku/>
        <w:wordWrap/>
        <w:overflowPunct/>
        <w:topLinePunct w:val="0"/>
        <w:bidi w:val="0"/>
        <w:spacing w:line="360" w:lineRule="auto"/>
        <w:ind w:left="0" w:leftChars="0" w:right="0" w:rightChars="0" w:firstLine="720" w:firstLineChars="300"/>
        <w:textAlignment w:val="auto"/>
      </w:pPr>
      <w:r>
        <w:t xml:space="preserve">4.2.1 </w:t>
      </w:r>
      <w:r>
        <w:rPr>
          <w:rFonts w:hint="eastAsia"/>
        </w:rPr>
        <w:t>由招标</w:t>
      </w:r>
      <w:r>
        <w:rPr>
          <w:rFonts w:hint="eastAsia"/>
          <w:lang w:val="en-US" w:eastAsia="zh-CN"/>
        </w:rPr>
        <w:t>工作人员</w:t>
      </w:r>
      <w:r>
        <w:rPr>
          <w:rFonts w:hint="eastAsia"/>
        </w:rPr>
        <w:t>负责打分统计工作、汇总及复核，磋商小组负责审核；</w:t>
      </w:r>
    </w:p>
    <w:p>
      <w:pPr>
        <w:pStyle w:val="9"/>
        <w:pageBreakBefore w:val="0"/>
        <w:widowControl w:val="0"/>
        <w:kinsoku/>
        <w:wordWrap/>
        <w:overflowPunct/>
        <w:topLinePunct w:val="0"/>
        <w:bidi w:val="0"/>
        <w:spacing w:line="360" w:lineRule="auto"/>
        <w:ind w:left="0" w:leftChars="0" w:right="0" w:rightChars="0" w:firstLine="720" w:firstLineChars="300"/>
        <w:textAlignment w:val="auto"/>
      </w:pPr>
      <w:r>
        <w:t xml:space="preserve">4.2.2 </w:t>
      </w:r>
      <w:r>
        <w:rPr>
          <w:rFonts w:hint="eastAsia"/>
        </w:rPr>
        <w:t>各供应商的最终得分为各评委所评定分数的算术平均值；</w:t>
      </w:r>
    </w:p>
    <w:p>
      <w:pPr>
        <w:pStyle w:val="9"/>
        <w:pageBreakBefore w:val="0"/>
        <w:widowControl w:val="0"/>
        <w:kinsoku/>
        <w:wordWrap/>
        <w:overflowPunct/>
        <w:topLinePunct w:val="0"/>
        <w:bidi w:val="0"/>
        <w:spacing w:line="360" w:lineRule="auto"/>
        <w:ind w:left="0" w:leftChars="0" w:right="0" w:rightChars="0" w:firstLine="720" w:firstLineChars="300"/>
        <w:textAlignment w:val="auto"/>
      </w:pPr>
      <w:r>
        <w:t xml:space="preserve">4.2.3 </w:t>
      </w:r>
      <w:r>
        <w:rPr>
          <w:rFonts w:hint="eastAsia"/>
        </w:rPr>
        <w:t>各项统计、评分结果均按四舍五入的方法精确到小数点后</w:t>
      </w:r>
      <w:r>
        <w:rPr>
          <w:rFonts w:hint="eastAsia"/>
          <w:lang w:val="en-US" w:eastAsia="zh-CN"/>
        </w:rPr>
        <w:t>1</w:t>
      </w:r>
      <w:r>
        <w:rPr>
          <w:rFonts w:hint="eastAsia"/>
        </w:rPr>
        <w:t>位；</w:t>
      </w:r>
    </w:p>
    <w:p>
      <w:pPr>
        <w:pStyle w:val="9"/>
        <w:pageBreakBefore w:val="0"/>
        <w:widowControl w:val="0"/>
        <w:kinsoku/>
        <w:wordWrap/>
        <w:overflowPunct/>
        <w:topLinePunct w:val="0"/>
        <w:bidi w:val="0"/>
        <w:spacing w:line="360" w:lineRule="auto"/>
        <w:ind w:left="0" w:leftChars="0" w:right="0" w:rightChars="0" w:firstLine="720" w:firstLineChars="300"/>
        <w:textAlignment w:val="auto"/>
      </w:pPr>
      <w:r>
        <w:rPr>
          <w:lang w:val="en-US"/>
        </w:rPr>
        <w:t>4</w:t>
      </w:r>
      <w:r>
        <w:t xml:space="preserve">.2.4 </w:t>
      </w:r>
      <w:r>
        <w:rPr>
          <w:rFonts w:hint="eastAsia"/>
        </w:rPr>
        <w:t>终名次按各</w:t>
      </w:r>
      <w:r>
        <w:rPr>
          <w:rFonts w:hint="eastAsia"/>
          <w:lang w:eastAsia="zh-CN"/>
        </w:rPr>
        <w:t>供应商</w:t>
      </w:r>
      <w:r>
        <w:rPr>
          <w:rFonts w:hint="eastAsia"/>
        </w:rPr>
        <w:t>最终得分高低依次排序确定名次；</w:t>
      </w:r>
    </w:p>
    <w:p>
      <w:pPr>
        <w:pStyle w:val="9"/>
        <w:pageBreakBefore w:val="0"/>
        <w:widowControl w:val="0"/>
        <w:kinsoku/>
        <w:wordWrap/>
        <w:overflowPunct/>
        <w:topLinePunct w:val="0"/>
        <w:bidi w:val="0"/>
        <w:spacing w:line="360" w:lineRule="auto"/>
        <w:ind w:left="0" w:leftChars="0" w:right="0" w:rightChars="0" w:firstLine="480" w:firstLineChars="200"/>
        <w:textAlignment w:val="auto"/>
      </w:pPr>
      <w:r>
        <w:t>4.3</w:t>
      </w:r>
      <w:r>
        <w:rPr>
          <w:rFonts w:hint="eastAsia"/>
        </w:rPr>
        <w:t>评标结果</w:t>
      </w:r>
      <w:r>
        <w:t xml:space="preserve"> </w:t>
      </w:r>
    </w:p>
    <w:p>
      <w:pPr>
        <w:pStyle w:val="9"/>
        <w:pageBreakBefore w:val="0"/>
        <w:widowControl w:val="0"/>
        <w:kinsoku/>
        <w:wordWrap/>
        <w:overflowPunct/>
        <w:topLinePunct w:val="0"/>
        <w:bidi w:val="0"/>
        <w:spacing w:line="360" w:lineRule="auto"/>
        <w:ind w:left="0" w:leftChars="0" w:right="0" w:rightChars="0" w:firstLine="720" w:firstLineChars="300"/>
        <w:textAlignment w:val="auto"/>
      </w:pPr>
      <w:r>
        <w:t>4.3.1</w:t>
      </w:r>
      <w:r>
        <w:rPr>
          <w:rFonts w:hint="eastAsia"/>
        </w:rPr>
        <w:t>磋商小组根据供应商的得分，按从高到低的顺序推荐候选人，由采购人按照法律法规及磋商文件的有关规定确定成交供应商；</w:t>
      </w:r>
    </w:p>
    <w:p>
      <w:pPr>
        <w:pStyle w:val="9"/>
        <w:pageBreakBefore w:val="0"/>
        <w:widowControl w:val="0"/>
        <w:kinsoku/>
        <w:wordWrap/>
        <w:overflowPunct/>
        <w:topLinePunct w:val="0"/>
        <w:bidi w:val="0"/>
        <w:spacing w:line="360" w:lineRule="auto"/>
        <w:ind w:left="0" w:leftChars="0" w:right="0" w:rightChars="0" w:firstLine="480" w:firstLineChars="200"/>
        <w:textAlignment w:val="auto"/>
        <w:rPr>
          <w:rFonts w:hint="eastAsia"/>
          <w:b/>
          <w:bCs/>
          <w:sz w:val="32"/>
          <w:szCs w:val="32"/>
        </w:rPr>
      </w:pPr>
      <w:r>
        <w:t>4.4</w:t>
      </w:r>
      <w:r>
        <w:rPr>
          <w:rFonts w:hint="eastAsia"/>
        </w:rPr>
        <w:t>完成评定后，磋商小组须在评审结果推荐意见上共同签字；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Start w:id="230" w:name="_Toc27974_WPSOffice_Level2"/>
      <w:bookmarkStart w:id="231" w:name="_Toc18514_WPSOffice_Level2"/>
      <w:bookmarkStart w:id="232" w:name="_Toc21808_WPSOffice_Level2"/>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b/>
          <w:bCs/>
          <w:sz w:val="32"/>
          <w:szCs w:val="32"/>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1"/>
        <w:rPr>
          <w:rFonts w:hint="eastAsia"/>
          <w:b/>
          <w:bCs/>
          <w:sz w:val="32"/>
          <w:szCs w:val="32"/>
        </w:rPr>
      </w:pPr>
      <w:r>
        <w:rPr>
          <w:rFonts w:hint="eastAsia"/>
          <w:b/>
          <w:bCs/>
          <w:sz w:val="32"/>
          <w:szCs w:val="32"/>
        </w:rPr>
        <w:t>评分表</w:t>
      </w:r>
      <w:bookmarkEnd w:id="230"/>
      <w:bookmarkEnd w:id="231"/>
      <w:bookmarkEnd w:id="232"/>
    </w:p>
    <w:tbl>
      <w:tblPr>
        <w:tblStyle w:val="17"/>
        <w:tblpPr w:leftFromText="180" w:rightFromText="180" w:vertAnchor="text" w:horzAnchor="page" w:tblpX="1252" w:tblpY="344"/>
        <w:tblOverlap w:val="never"/>
        <w:tblW w:w="9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95"/>
        <w:gridCol w:w="960"/>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08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分值</w:t>
            </w:r>
          </w:p>
        </w:tc>
        <w:tc>
          <w:tcPr>
            <w:tcW w:w="6780" w:type="dxa"/>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价格部分（</w:t>
            </w:r>
            <w:r>
              <w:rPr>
                <w:rFonts w:hint="eastAsia" w:ascii="宋体" w:hAnsi="宋体" w:eastAsia="宋体" w:cs="宋体"/>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分）</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报价</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c>
          <w:tcPr>
            <w:tcW w:w="6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满足竞争性磋商文件全部实质性要求且价格最低的报价为评标基准价，其价格分为满分，其他供应商的价格分统一按照下列公式计算：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投标报价得分=（评标基准价/投标报价）×</w:t>
            </w:r>
            <w:r>
              <w:rPr>
                <w:rFonts w:hint="eastAsia" w:ascii="宋体" w:hAnsi="宋体" w:eastAsia="宋体" w:cs="宋体"/>
                <w:color w:val="000000" w:themeColor="text1"/>
                <w:sz w:val="24"/>
                <w:szCs w:val="24"/>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8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分）</w:t>
            </w:r>
          </w:p>
        </w:tc>
        <w:tc>
          <w:tcPr>
            <w:tcW w:w="79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zh-CN"/>
                <w14:textFill>
                  <w14:solidFill>
                    <w14:schemeClr w14:val="tx1"/>
                  </w14:solidFill>
                </w14:textFill>
              </w:rPr>
              <w:t>资质</w:t>
            </w:r>
            <w:r>
              <w:rPr>
                <w:rFonts w:hint="eastAsia" w:ascii="宋体" w:hAnsi="宋体" w:eastAsia="宋体" w:cs="宋体"/>
                <w:color w:val="000000" w:themeColor="text1"/>
                <w:sz w:val="24"/>
                <w:szCs w:val="24"/>
                <w:lang w:val="en-US" w:eastAsia="zh-CN"/>
                <w14:textFill>
                  <w14:solidFill>
                    <w14:schemeClr w14:val="tx1"/>
                  </w14:solidFill>
                </w14:textFill>
              </w:rPr>
              <w:t>及提供服务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有依法缴社会保障资金的良好记录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8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pPr>
          </w:p>
        </w:tc>
        <w:tc>
          <w:tcPr>
            <w:tcW w:w="795"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pPr>
          </w:p>
        </w:tc>
        <w:tc>
          <w:tcPr>
            <w:tcW w:w="960" w:type="dxa"/>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2</w:t>
            </w:r>
          </w:p>
        </w:tc>
        <w:tc>
          <w:tcPr>
            <w:tcW w:w="6780" w:type="dxa"/>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投标单位成立8年以上经营稳定。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8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795"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960" w:type="dxa"/>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cs="宋体"/>
                <w:color w:val="000000" w:themeColor="text1"/>
                <w:kern w:val="2"/>
                <w:sz w:val="24"/>
                <w:szCs w:val="24"/>
                <w:lang w:val="en-US" w:eastAsia="zh-CN" w:bidi="ar-SA"/>
                <w14:textFill>
                  <w14:solidFill>
                    <w14:schemeClr w14:val="tx1"/>
                  </w14:solidFill>
                </w14:textFill>
              </w:rPr>
              <w:t>10</w:t>
            </w:r>
          </w:p>
        </w:tc>
        <w:tc>
          <w:tcPr>
            <w:tcW w:w="6780" w:type="dxa"/>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投标单位具有代理软件公司的产品销售授权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8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795"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p>
        </w:tc>
        <w:tc>
          <w:tcPr>
            <w:tcW w:w="6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项目实施培训工程师有5年以上丰富工作经验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8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795"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w:t>
            </w:r>
          </w:p>
        </w:tc>
        <w:tc>
          <w:tcPr>
            <w:tcW w:w="6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上门系统安装部署，实施培训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8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795"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p>
        </w:tc>
        <w:tc>
          <w:tcPr>
            <w:tcW w:w="6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免费提供软件升级售后服务1年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8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795"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p>
        </w:tc>
        <w:tc>
          <w:tcPr>
            <w:tcW w:w="6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软件本身原因，终身免费维护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8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795"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p>
        </w:tc>
        <w:tc>
          <w:tcPr>
            <w:tcW w:w="6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提供本地化售后服务，及时响应使用售后问题软件问题响应时间7*24小时随时响应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技术部分（</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zh-CN"/>
                <w14:textFill>
                  <w14:solidFill>
                    <w14:schemeClr w14:val="tx1"/>
                  </w14:solidFill>
                </w14:textFill>
              </w:rPr>
              <w:t>分）</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现场演示</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c>
          <w:tcPr>
            <w:tcW w:w="6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演示时间不得超过</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分钟，完全满足的得40分，每有一项演示不满足竞争性磋商文件要求或未演示的扣4分，扣完为止，</w:t>
            </w:r>
          </w:p>
        </w:tc>
      </w:tr>
    </w:tbl>
    <w:p>
      <w:pPr>
        <w:pStyle w:val="3"/>
        <w:pageBreakBefore w:val="0"/>
        <w:widowControl w:val="0"/>
        <w:kinsoku/>
        <w:wordWrap/>
        <w:overflowPunct/>
        <w:topLinePunct w:val="0"/>
        <w:bidi w:val="0"/>
        <w:spacing w:before="0" w:after="0" w:line="360" w:lineRule="auto"/>
        <w:ind w:left="0" w:leftChars="0" w:right="0" w:rightChars="0"/>
        <w:jc w:val="center"/>
        <w:textAlignment w:val="auto"/>
        <w:rPr>
          <w:rFonts w:hint="eastAsia" w:ascii="宋体" w:hAnsi="宋体"/>
          <w:color w:val="000000"/>
          <w:sz w:val="36"/>
          <w:szCs w:val="36"/>
        </w:rPr>
      </w:pPr>
      <w:bookmarkStart w:id="233" w:name="_Toc15425_WPSOffice_Level1"/>
      <w:bookmarkStart w:id="234" w:name="_Toc467587340"/>
    </w:p>
    <w:p>
      <w:pPr>
        <w:rPr>
          <w:rFonts w:hint="eastAsia" w:ascii="宋体" w:hAnsi="宋体"/>
          <w:color w:val="000000"/>
          <w:sz w:val="36"/>
          <w:szCs w:val="36"/>
        </w:rPr>
      </w:pPr>
    </w:p>
    <w:p>
      <w:pPr>
        <w:pStyle w:val="2"/>
        <w:rPr>
          <w:rFonts w:hint="eastAsia" w:ascii="宋体" w:hAnsi="宋体"/>
          <w:color w:val="000000"/>
          <w:sz w:val="36"/>
          <w:szCs w:val="36"/>
        </w:rPr>
      </w:pPr>
    </w:p>
    <w:p>
      <w:pPr>
        <w:pStyle w:val="2"/>
        <w:rPr>
          <w:rFonts w:hint="eastAsia" w:ascii="宋体" w:hAnsi="宋体"/>
          <w:color w:val="000000"/>
          <w:sz w:val="36"/>
          <w:szCs w:val="36"/>
        </w:rPr>
      </w:pPr>
    </w:p>
    <w:p>
      <w:pPr>
        <w:pStyle w:val="2"/>
        <w:rPr>
          <w:rFonts w:hint="eastAsia" w:ascii="宋体" w:hAnsi="宋体"/>
          <w:color w:val="000000"/>
          <w:sz w:val="36"/>
          <w:szCs w:val="36"/>
        </w:rPr>
      </w:pPr>
    </w:p>
    <w:p>
      <w:pPr>
        <w:pStyle w:val="2"/>
        <w:rPr>
          <w:rFonts w:hint="eastAsia" w:ascii="宋体" w:hAnsi="宋体"/>
          <w:color w:val="000000"/>
          <w:sz w:val="36"/>
          <w:szCs w:val="36"/>
        </w:rPr>
      </w:pPr>
    </w:p>
    <w:p>
      <w:pPr>
        <w:pStyle w:val="2"/>
        <w:rPr>
          <w:rFonts w:hint="eastAsia" w:ascii="宋体" w:hAnsi="宋体"/>
          <w:color w:val="000000"/>
          <w:sz w:val="36"/>
          <w:szCs w:val="36"/>
        </w:rPr>
      </w:pPr>
    </w:p>
    <w:p>
      <w:pPr>
        <w:pStyle w:val="3"/>
        <w:pageBreakBefore w:val="0"/>
        <w:widowControl w:val="0"/>
        <w:kinsoku/>
        <w:wordWrap/>
        <w:overflowPunct/>
        <w:topLinePunct w:val="0"/>
        <w:bidi w:val="0"/>
        <w:spacing w:before="0" w:after="0" w:line="360" w:lineRule="auto"/>
        <w:ind w:left="0" w:leftChars="0" w:right="0" w:rightChars="0"/>
        <w:jc w:val="center"/>
        <w:textAlignment w:val="auto"/>
        <w:rPr>
          <w:rFonts w:ascii="宋体" w:eastAsia="宋体"/>
          <w:color w:val="000000"/>
          <w:sz w:val="36"/>
          <w:szCs w:val="36"/>
        </w:rPr>
      </w:pPr>
      <w:r>
        <w:rPr>
          <w:rFonts w:hint="eastAsia" w:ascii="宋体" w:hAnsi="宋体"/>
          <w:color w:val="000000"/>
          <w:sz w:val="36"/>
          <w:szCs w:val="36"/>
        </w:rPr>
        <w:t>第</w:t>
      </w:r>
      <w:r>
        <w:rPr>
          <w:rFonts w:hint="eastAsia" w:ascii="宋体" w:hAnsi="宋体"/>
          <w:color w:val="000000"/>
          <w:sz w:val="36"/>
          <w:szCs w:val="36"/>
          <w:lang w:val="en-US" w:eastAsia="zh-CN"/>
        </w:rPr>
        <w:t>五</w:t>
      </w:r>
      <w:r>
        <w:rPr>
          <w:rFonts w:hint="eastAsia" w:ascii="宋体" w:hAnsi="宋体"/>
          <w:color w:val="000000"/>
          <w:sz w:val="36"/>
          <w:szCs w:val="36"/>
        </w:rPr>
        <w:t>章</w:t>
      </w:r>
      <w:r>
        <w:rPr>
          <w:rFonts w:ascii="宋体" w:hAnsi="宋体"/>
          <w:color w:val="000000"/>
          <w:sz w:val="36"/>
          <w:szCs w:val="36"/>
        </w:rPr>
        <w:t xml:space="preserve">  </w:t>
      </w:r>
      <w:r>
        <w:rPr>
          <w:rFonts w:hint="eastAsia" w:ascii="宋体" w:hAnsi="宋体"/>
          <w:color w:val="000000"/>
          <w:sz w:val="36"/>
          <w:szCs w:val="36"/>
        </w:rPr>
        <w:t>竞争性磋商响应文件格式</w:t>
      </w:r>
      <w:bookmarkEnd w:id="233"/>
      <w:bookmarkEnd w:id="234"/>
    </w:p>
    <w:p>
      <w:pPr>
        <w:pageBreakBefore w:val="0"/>
        <w:widowControl w:val="0"/>
        <w:kinsoku/>
        <w:wordWrap/>
        <w:overflowPunct/>
        <w:topLinePunct w:val="0"/>
        <w:bidi w:val="0"/>
        <w:spacing w:line="360" w:lineRule="auto"/>
        <w:ind w:left="0" w:leftChars="0" w:right="0" w:rightChars="0"/>
        <w:jc w:val="center"/>
        <w:textAlignment w:val="auto"/>
        <w:rPr>
          <w:b/>
          <w:color w:val="000000"/>
          <w:sz w:val="24"/>
          <w:szCs w:val="24"/>
        </w:rPr>
      </w:pPr>
      <w:bookmarkStart w:id="235" w:name="_Toc29000_WPSOffice_Level1"/>
      <w:r>
        <w:rPr>
          <w:rFonts w:hint="eastAsia" w:ascii="宋体" w:hAnsi="宋体"/>
          <w:b/>
          <w:color w:val="000000"/>
          <w:kern w:val="44"/>
          <w:sz w:val="24"/>
          <w:szCs w:val="24"/>
        </w:rPr>
        <w:t>（以下竞争性磋商响应文件格式仅供参考，供应商应实质性响应磋商文件要求。）</w:t>
      </w:r>
      <w:bookmarkEnd w:id="235"/>
    </w:p>
    <w:p>
      <w:pPr>
        <w:pageBreakBefore w:val="0"/>
        <w:widowControl w:val="0"/>
        <w:kinsoku/>
        <w:wordWrap/>
        <w:overflowPunct/>
        <w:topLinePunct w:val="0"/>
        <w:autoSpaceDE w:val="0"/>
        <w:autoSpaceDN w:val="0"/>
        <w:bidi w:val="0"/>
        <w:adjustRightInd w:val="0"/>
        <w:spacing w:line="360" w:lineRule="auto"/>
        <w:ind w:left="0" w:leftChars="0" w:right="0" w:rightChars="0"/>
        <w:textAlignment w:val="auto"/>
        <w:rPr>
          <w:rFonts w:ascii="宋体"/>
          <w:color w:val="000000"/>
          <w:sz w:val="24"/>
          <w:szCs w:val="24"/>
        </w:rPr>
      </w:pPr>
    </w:p>
    <w:p>
      <w:pPr>
        <w:pStyle w:val="2"/>
      </w:pPr>
    </w:p>
    <w:p>
      <w:pPr>
        <w:pageBreakBefore w:val="0"/>
        <w:widowControl w:val="0"/>
        <w:kinsoku/>
        <w:wordWrap/>
        <w:overflowPunct/>
        <w:topLinePunct w:val="0"/>
        <w:autoSpaceDE w:val="0"/>
        <w:autoSpaceDN w:val="0"/>
        <w:bidi w:val="0"/>
        <w:adjustRightInd w:val="0"/>
        <w:spacing w:line="360" w:lineRule="auto"/>
        <w:ind w:left="0" w:leftChars="0" w:right="0" w:rightChars="0"/>
        <w:jc w:val="center"/>
        <w:textAlignment w:val="auto"/>
        <w:rPr>
          <w:rFonts w:hint="eastAsia" w:ascii="宋体" w:hAnsi="宋体"/>
          <w:b/>
          <w:color w:val="000000"/>
          <w:sz w:val="56"/>
          <w:szCs w:val="56"/>
        </w:rPr>
      </w:pPr>
      <w:bookmarkStart w:id="236" w:name="_Toc21612_WPSOffice_Level1"/>
      <w:r>
        <w:rPr>
          <w:rFonts w:hint="eastAsia" w:ascii="宋体" w:hAnsi="宋体"/>
          <w:b/>
          <w:color w:val="000000"/>
          <w:sz w:val="56"/>
          <w:szCs w:val="56"/>
          <w:lang w:val="en-US" w:eastAsia="zh-CN"/>
        </w:rPr>
        <w:t>资产管理系统购置</w:t>
      </w:r>
      <w:r>
        <w:rPr>
          <w:rFonts w:hint="eastAsia" w:ascii="宋体" w:hAnsi="宋体"/>
          <w:b/>
          <w:color w:val="000000"/>
          <w:sz w:val="56"/>
          <w:szCs w:val="56"/>
        </w:rPr>
        <w:t>项目</w:t>
      </w:r>
    </w:p>
    <w:p>
      <w:pPr>
        <w:pageBreakBefore w:val="0"/>
        <w:widowControl w:val="0"/>
        <w:kinsoku/>
        <w:wordWrap/>
        <w:overflowPunct/>
        <w:topLinePunct w:val="0"/>
        <w:autoSpaceDE w:val="0"/>
        <w:autoSpaceDN w:val="0"/>
        <w:bidi w:val="0"/>
        <w:adjustRightInd w:val="0"/>
        <w:spacing w:line="360" w:lineRule="auto"/>
        <w:ind w:left="0" w:leftChars="0" w:right="0" w:rightChars="0"/>
        <w:jc w:val="center"/>
        <w:textAlignment w:val="auto"/>
        <w:rPr>
          <w:rFonts w:hint="eastAsia" w:ascii="宋体" w:hAnsi="宋体"/>
          <w:b/>
          <w:color w:val="000000"/>
          <w:sz w:val="56"/>
          <w:szCs w:val="56"/>
        </w:rPr>
      </w:pPr>
      <w:r>
        <w:rPr>
          <w:rFonts w:hint="eastAsia" w:ascii="宋体" w:hAnsi="宋体"/>
          <w:b/>
          <w:color w:val="000000"/>
          <w:sz w:val="56"/>
          <w:szCs w:val="56"/>
        </w:rPr>
        <w:t>竞争性磋商</w:t>
      </w:r>
      <w:bookmarkEnd w:id="236"/>
    </w:p>
    <w:p>
      <w:pPr>
        <w:pageBreakBefore w:val="0"/>
        <w:widowControl w:val="0"/>
        <w:kinsoku/>
        <w:wordWrap/>
        <w:overflowPunct/>
        <w:topLinePunct w:val="0"/>
        <w:autoSpaceDE w:val="0"/>
        <w:autoSpaceDN w:val="0"/>
        <w:bidi w:val="0"/>
        <w:adjustRightInd w:val="0"/>
        <w:spacing w:line="360" w:lineRule="auto"/>
        <w:ind w:left="0" w:leftChars="0" w:right="0" w:rightChars="0"/>
        <w:jc w:val="center"/>
        <w:textAlignment w:val="auto"/>
        <w:rPr>
          <w:rFonts w:ascii="宋体"/>
          <w:b/>
          <w:color w:val="000000"/>
          <w:sz w:val="84"/>
          <w:szCs w:val="84"/>
        </w:rPr>
      </w:pPr>
      <w:bookmarkStart w:id="237" w:name="_Toc9949_WPSOffice_Level2"/>
      <w:r>
        <w:rPr>
          <w:rFonts w:hint="eastAsia" w:ascii="宋体" w:hAnsi="宋体"/>
          <w:b/>
          <w:color w:val="000000"/>
          <w:sz w:val="84"/>
          <w:szCs w:val="84"/>
        </w:rPr>
        <w:t>响应文件</w:t>
      </w:r>
      <w:bookmarkEnd w:id="237"/>
    </w:p>
    <w:p>
      <w:pPr>
        <w:pageBreakBefore w:val="0"/>
        <w:widowControl w:val="0"/>
        <w:kinsoku/>
        <w:wordWrap/>
        <w:overflowPunct/>
        <w:topLinePunct w:val="0"/>
        <w:autoSpaceDE w:val="0"/>
        <w:autoSpaceDN w:val="0"/>
        <w:bidi w:val="0"/>
        <w:adjustRightInd w:val="0"/>
        <w:spacing w:line="360" w:lineRule="auto"/>
        <w:ind w:left="0" w:leftChars="0" w:right="0" w:rightChars="0" w:firstLine="1190" w:firstLineChars="395"/>
        <w:textAlignment w:val="auto"/>
        <w:rPr>
          <w:rFonts w:ascii="宋体" w:eastAsia="宋体"/>
          <w:b/>
          <w:bCs/>
          <w:color w:val="000000"/>
          <w:sz w:val="30"/>
          <w:szCs w:val="30"/>
        </w:rPr>
      </w:pPr>
    </w:p>
    <w:p>
      <w:pPr>
        <w:pageBreakBefore w:val="0"/>
        <w:widowControl w:val="0"/>
        <w:kinsoku/>
        <w:wordWrap/>
        <w:overflowPunct/>
        <w:topLinePunct w:val="0"/>
        <w:autoSpaceDE w:val="0"/>
        <w:autoSpaceDN w:val="0"/>
        <w:bidi w:val="0"/>
        <w:adjustRightInd w:val="0"/>
        <w:spacing w:line="360" w:lineRule="auto"/>
        <w:ind w:left="0" w:leftChars="0" w:right="0" w:rightChars="0" w:firstLine="1190" w:firstLineChars="395"/>
        <w:textAlignment w:val="auto"/>
        <w:rPr>
          <w:rFonts w:ascii="宋体" w:eastAsia="宋体"/>
          <w:b/>
          <w:bCs/>
          <w:color w:val="000000"/>
          <w:sz w:val="30"/>
          <w:szCs w:val="30"/>
        </w:rPr>
      </w:pPr>
    </w:p>
    <w:p>
      <w:pPr>
        <w:pageBreakBefore w:val="0"/>
        <w:widowControl w:val="0"/>
        <w:kinsoku/>
        <w:wordWrap/>
        <w:overflowPunct/>
        <w:topLinePunct w:val="0"/>
        <w:autoSpaceDE w:val="0"/>
        <w:autoSpaceDN w:val="0"/>
        <w:bidi w:val="0"/>
        <w:adjustRightInd w:val="0"/>
        <w:spacing w:line="360" w:lineRule="auto"/>
        <w:ind w:left="0" w:leftChars="0" w:right="0" w:rightChars="0" w:firstLine="1190" w:firstLineChars="395"/>
        <w:textAlignment w:val="auto"/>
        <w:rPr>
          <w:rFonts w:ascii="宋体" w:eastAsia="宋体"/>
          <w:b/>
          <w:bCs/>
          <w:color w:val="000000"/>
          <w:sz w:val="30"/>
          <w:szCs w:val="30"/>
        </w:rPr>
      </w:pPr>
    </w:p>
    <w:p>
      <w:pPr>
        <w:pageBreakBefore w:val="0"/>
        <w:widowControl w:val="0"/>
        <w:kinsoku/>
        <w:wordWrap/>
        <w:overflowPunct/>
        <w:topLinePunct w:val="0"/>
        <w:autoSpaceDE w:val="0"/>
        <w:autoSpaceDN w:val="0"/>
        <w:bidi w:val="0"/>
        <w:adjustRightInd w:val="0"/>
        <w:spacing w:line="360" w:lineRule="auto"/>
        <w:ind w:left="0" w:leftChars="0" w:right="0" w:rightChars="0" w:firstLine="1190" w:firstLineChars="395"/>
        <w:textAlignment w:val="auto"/>
        <w:rPr>
          <w:rFonts w:hint="default" w:ascii="宋体" w:eastAsia="仿宋_GB2312"/>
          <w:b/>
          <w:bCs/>
          <w:color w:val="000000"/>
          <w:sz w:val="30"/>
          <w:szCs w:val="30"/>
          <w:u w:val="single"/>
          <w:lang w:val="en-US" w:eastAsia="zh-CN"/>
        </w:rPr>
      </w:pPr>
      <w:bookmarkStart w:id="238" w:name="_Toc8964_WPSOffice_Level1"/>
      <w:r>
        <w:rPr>
          <w:rFonts w:hint="eastAsia" w:ascii="宋体" w:hAnsi="宋体"/>
          <w:b/>
          <w:bCs/>
          <w:color w:val="000000"/>
          <w:sz w:val="30"/>
          <w:szCs w:val="30"/>
        </w:rPr>
        <w:t>采购编号：</w:t>
      </w:r>
      <w:bookmarkEnd w:id="238"/>
      <w:r>
        <w:rPr>
          <w:rFonts w:hint="eastAsia" w:ascii="宋体" w:hAnsi="宋体"/>
          <w:b/>
          <w:bCs/>
          <w:color w:val="000000"/>
          <w:sz w:val="30"/>
          <w:szCs w:val="30"/>
          <w:lang w:val="en-US" w:eastAsia="zh-CN"/>
        </w:rPr>
        <w:t xml:space="preserve"> </w:t>
      </w:r>
      <w:r>
        <w:rPr>
          <w:rFonts w:hint="eastAsia" w:ascii="宋体" w:hAnsi="宋体"/>
          <w:b/>
          <w:bCs/>
          <w:color w:val="000000"/>
          <w:sz w:val="30"/>
          <w:szCs w:val="30"/>
          <w:u w:val="single"/>
        </w:rPr>
        <w:t>十采计备【2019】</w:t>
      </w:r>
      <w:r>
        <w:rPr>
          <w:rFonts w:hint="eastAsia" w:ascii="宋体" w:hAnsi="宋体"/>
          <w:b/>
          <w:bCs/>
          <w:color w:val="000000"/>
          <w:sz w:val="30"/>
          <w:szCs w:val="30"/>
          <w:u w:val="single"/>
          <w:lang w:val="en-US" w:eastAsia="zh-CN"/>
        </w:rPr>
        <w:t>XM299</w:t>
      </w:r>
      <w:r>
        <w:rPr>
          <w:rFonts w:hint="eastAsia" w:ascii="宋体" w:hAnsi="宋体"/>
          <w:b/>
          <w:bCs/>
          <w:color w:val="000000"/>
          <w:sz w:val="30"/>
          <w:szCs w:val="30"/>
          <w:u w:val="single"/>
        </w:rPr>
        <w:t>号</w:t>
      </w:r>
      <w:r>
        <w:rPr>
          <w:rFonts w:hint="eastAsia" w:ascii="宋体" w:hAnsi="宋体"/>
          <w:b/>
          <w:bCs/>
          <w:color w:val="000000"/>
          <w:sz w:val="30"/>
          <w:szCs w:val="30"/>
          <w:u w:val="single"/>
        </w:rPr>
        <w:tab/>
      </w:r>
      <w:r>
        <w:rPr>
          <w:rFonts w:hint="eastAsia" w:ascii="宋体" w:hAnsi="宋体"/>
          <w:b/>
          <w:bCs/>
          <w:color w:val="000000"/>
          <w:sz w:val="30"/>
          <w:szCs w:val="30"/>
          <w:u w:val="single"/>
          <w:lang w:val="en-US" w:eastAsia="zh-CN"/>
        </w:rPr>
        <w:t xml:space="preserve">     </w:t>
      </w:r>
    </w:p>
    <w:p>
      <w:pPr>
        <w:pageBreakBefore w:val="0"/>
        <w:widowControl w:val="0"/>
        <w:tabs>
          <w:tab w:val="left" w:pos="7230"/>
        </w:tabs>
        <w:kinsoku/>
        <w:wordWrap/>
        <w:overflowPunct/>
        <w:topLinePunct w:val="0"/>
        <w:bidi w:val="0"/>
        <w:spacing w:line="360" w:lineRule="auto"/>
        <w:ind w:left="0" w:leftChars="0" w:right="0" w:rightChars="0" w:firstLine="1190" w:firstLineChars="395"/>
        <w:textAlignment w:val="auto"/>
        <w:rPr>
          <w:rFonts w:hint="eastAsia" w:ascii="宋体" w:hAnsi="宋体"/>
          <w:b/>
          <w:bCs/>
          <w:color w:val="000000"/>
          <w:sz w:val="30"/>
          <w:szCs w:val="30"/>
        </w:rPr>
      </w:pPr>
      <w:bookmarkStart w:id="239" w:name="_Toc18380_WPSOffice_Level1"/>
      <w:r>
        <w:rPr>
          <w:rFonts w:hint="eastAsia" w:ascii="宋体" w:hAnsi="宋体"/>
          <w:b/>
          <w:bCs/>
          <w:color w:val="000000"/>
          <w:sz w:val="30"/>
          <w:szCs w:val="30"/>
        </w:rPr>
        <w:t>项目名称：</w:t>
      </w:r>
      <w:bookmarkEnd w:id="239"/>
      <w:r>
        <w:rPr>
          <w:rFonts w:hint="eastAsia" w:ascii="宋体" w:hAnsi="宋体"/>
          <w:b/>
          <w:bCs/>
          <w:color w:val="000000"/>
          <w:sz w:val="30"/>
          <w:szCs w:val="30"/>
          <w:u w:val="single"/>
        </w:rPr>
        <w:t>资产管理系统购置项目</w:t>
      </w:r>
      <w:r>
        <w:rPr>
          <w:color w:val="000000"/>
          <w:u w:val="single"/>
        </w:rPr>
        <w:tab/>
      </w:r>
      <w:r>
        <w:rPr>
          <w:rFonts w:hint="eastAsia"/>
          <w:color w:val="000000"/>
          <w:u w:val="single"/>
          <w:lang w:val="en-US" w:eastAsia="zh-CN"/>
        </w:rPr>
        <w:t xml:space="preserve">  </w:t>
      </w:r>
      <w:bookmarkStart w:id="240" w:name="_Toc29374_WPSOffice_Level1"/>
    </w:p>
    <w:p>
      <w:pPr>
        <w:pageBreakBefore w:val="0"/>
        <w:widowControl w:val="0"/>
        <w:kinsoku/>
        <w:wordWrap/>
        <w:overflowPunct/>
        <w:topLinePunct w:val="0"/>
        <w:autoSpaceDE w:val="0"/>
        <w:autoSpaceDN w:val="0"/>
        <w:bidi w:val="0"/>
        <w:adjustRightInd w:val="0"/>
        <w:spacing w:line="360" w:lineRule="auto"/>
        <w:ind w:left="0" w:leftChars="0" w:right="0" w:rightChars="0" w:firstLine="1190" w:firstLineChars="395"/>
        <w:textAlignment w:val="auto"/>
        <w:rPr>
          <w:rFonts w:hint="default" w:ascii="宋体" w:eastAsia="仿宋_GB2312"/>
          <w:b/>
          <w:bCs/>
          <w:color w:val="000000"/>
          <w:sz w:val="30"/>
          <w:szCs w:val="30"/>
          <w:u w:val="single"/>
          <w:lang w:val="en-US" w:eastAsia="zh-CN"/>
        </w:rPr>
      </w:pPr>
      <w:r>
        <w:rPr>
          <w:rFonts w:hint="eastAsia" w:ascii="宋体" w:hAnsi="宋体"/>
          <w:b/>
          <w:bCs/>
          <w:color w:val="000000"/>
          <w:sz w:val="30"/>
          <w:szCs w:val="30"/>
        </w:rPr>
        <w:t>报价内容：</w:t>
      </w:r>
      <w:bookmarkEnd w:id="240"/>
      <w:r>
        <w:rPr>
          <w:rFonts w:hint="eastAsia" w:ascii="宋体" w:hAnsi="宋体"/>
          <w:b/>
          <w:bCs/>
          <w:color w:val="000000"/>
          <w:sz w:val="30"/>
          <w:szCs w:val="30"/>
          <w:u w:val="single"/>
        </w:rPr>
        <w:t>资产管理系统</w:t>
      </w:r>
      <w:r>
        <w:rPr>
          <w:rFonts w:hint="eastAsia" w:ascii="宋体" w:hAnsi="宋体"/>
          <w:b/>
          <w:bCs/>
          <w:color w:val="000000"/>
          <w:sz w:val="30"/>
          <w:szCs w:val="30"/>
          <w:u w:val="single"/>
          <w:lang w:val="en-US" w:eastAsia="zh-CN"/>
        </w:rPr>
        <w:t xml:space="preserve">                   </w:t>
      </w:r>
    </w:p>
    <w:p>
      <w:pPr>
        <w:pageBreakBefore w:val="0"/>
        <w:widowControl w:val="0"/>
        <w:kinsoku/>
        <w:wordWrap/>
        <w:overflowPunct/>
        <w:topLinePunct w:val="0"/>
        <w:autoSpaceDE w:val="0"/>
        <w:autoSpaceDN w:val="0"/>
        <w:bidi w:val="0"/>
        <w:adjustRightInd w:val="0"/>
        <w:spacing w:line="360" w:lineRule="auto"/>
        <w:ind w:left="0" w:leftChars="0" w:right="0" w:rightChars="0"/>
        <w:textAlignment w:val="auto"/>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Style w:val="2"/>
        <w:rPr>
          <w:rFonts w:ascii="宋体"/>
          <w:color w:val="000000"/>
          <w:szCs w:val="21"/>
        </w:rPr>
      </w:pPr>
    </w:p>
    <w:p>
      <w:pPr>
        <w:pageBreakBefore w:val="0"/>
        <w:widowControl w:val="0"/>
        <w:kinsoku/>
        <w:wordWrap/>
        <w:overflowPunct/>
        <w:topLinePunct w:val="0"/>
        <w:autoSpaceDE w:val="0"/>
        <w:autoSpaceDN w:val="0"/>
        <w:bidi w:val="0"/>
        <w:adjustRightInd w:val="0"/>
        <w:spacing w:line="360" w:lineRule="auto"/>
        <w:ind w:left="0" w:leftChars="0" w:right="0" w:rightChars="0" w:firstLine="1120" w:firstLineChars="400"/>
        <w:textAlignment w:val="auto"/>
        <w:rPr>
          <w:rFonts w:hint="default" w:ascii="宋体" w:eastAsia="仿宋_GB2312"/>
          <w:color w:val="000000"/>
          <w:sz w:val="28"/>
          <w:szCs w:val="28"/>
          <w:lang w:val="en-US" w:eastAsia="zh-CN"/>
        </w:rPr>
      </w:pPr>
      <w:bookmarkStart w:id="241" w:name="_Toc6587_WPSOffice_Level1"/>
      <w:r>
        <w:rPr>
          <w:rFonts w:hint="eastAsia" w:ascii="宋体" w:hAnsi="宋体"/>
          <w:color w:val="000000"/>
          <w:sz w:val="28"/>
          <w:szCs w:val="28"/>
        </w:rPr>
        <w:t>供应商名称：</w:t>
      </w:r>
      <w:bookmarkEnd w:id="241"/>
      <w:r>
        <w:rPr>
          <w:color w:val="000000"/>
          <w:u w:val="single"/>
        </w:rPr>
        <w:tab/>
      </w:r>
      <w:r>
        <w:rPr>
          <w:rFonts w:hint="eastAsia"/>
          <w:color w:val="000000"/>
          <w:u w:val="single"/>
          <w:lang w:val="en-US" w:eastAsia="zh-CN"/>
        </w:rPr>
        <w:t xml:space="preserve">                                                                                       </w:t>
      </w:r>
    </w:p>
    <w:p>
      <w:pPr>
        <w:pStyle w:val="4"/>
        <w:pageBreakBefore w:val="0"/>
        <w:widowControl w:val="0"/>
        <w:kinsoku/>
        <w:wordWrap/>
        <w:overflowPunct/>
        <w:topLinePunct w:val="0"/>
        <w:bidi w:val="0"/>
        <w:spacing w:before="0" w:after="0" w:line="360" w:lineRule="auto"/>
        <w:ind w:left="0" w:leftChars="0" w:right="0" w:rightChars="0" w:firstLine="1120" w:firstLineChars="400"/>
        <w:jc w:val="left"/>
        <w:textAlignment w:val="auto"/>
        <w:rPr>
          <w:rFonts w:ascii="宋体" w:hAnsi="宋体" w:eastAsia="宋体"/>
          <w:color w:val="000000"/>
        </w:rPr>
      </w:pPr>
      <w:bookmarkStart w:id="242" w:name="_Toc4663_WPSOffice_Level1"/>
      <w:r>
        <w:rPr>
          <w:rFonts w:hint="eastAsia" w:ascii="宋体" w:hAnsi="宋体"/>
          <w:b w:val="0"/>
          <w:bCs/>
          <w:color w:val="000000"/>
          <w:sz w:val="28"/>
          <w:szCs w:val="28"/>
        </w:rPr>
        <w:t>日</w:t>
      </w:r>
      <w:r>
        <w:rPr>
          <w:rFonts w:hint="eastAsia" w:ascii="宋体" w:hAnsi="宋体"/>
          <w:b w:val="0"/>
          <w:bCs/>
          <w:color w:val="000000"/>
          <w:sz w:val="28"/>
          <w:szCs w:val="28"/>
          <w:lang w:val="en-US" w:eastAsia="zh-CN"/>
        </w:rPr>
        <w:t xml:space="preserve">      </w:t>
      </w:r>
      <w:r>
        <w:rPr>
          <w:rFonts w:hint="eastAsia" w:ascii="宋体" w:hAnsi="宋体"/>
          <w:b w:val="0"/>
          <w:bCs/>
          <w:color w:val="000000"/>
          <w:sz w:val="28"/>
          <w:szCs w:val="28"/>
        </w:rPr>
        <w:t>期：</w:t>
      </w:r>
      <w:r>
        <w:rPr>
          <w:rFonts w:hint="eastAsia" w:ascii="宋体" w:hAnsi="宋体"/>
          <w:b w:val="0"/>
          <w:bCs/>
          <w:color w:val="000000"/>
          <w:sz w:val="28"/>
          <w:szCs w:val="28"/>
          <w:u w:val="single"/>
          <w:lang w:val="en-US" w:eastAsia="zh-CN"/>
        </w:rPr>
        <w:t xml:space="preserve">         </w:t>
      </w:r>
      <w:r>
        <w:rPr>
          <w:rFonts w:hint="eastAsia" w:ascii="宋体" w:hAnsi="宋体"/>
          <w:b w:val="0"/>
          <w:bCs/>
          <w:color w:val="000000"/>
          <w:sz w:val="28"/>
          <w:szCs w:val="28"/>
        </w:rPr>
        <w:t>年</w:t>
      </w:r>
      <w:r>
        <w:rPr>
          <w:rFonts w:hint="eastAsia" w:ascii="宋体" w:hAnsi="宋体"/>
          <w:b w:val="0"/>
          <w:bCs/>
          <w:color w:val="000000"/>
          <w:sz w:val="28"/>
          <w:szCs w:val="28"/>
          <w:u w:val="single"/>
          <w:lang w:val="en-US" w:eastAsia="zh-CN"/>
        </w:rPr>
        <w:t xml:space="preserve">         </w:t>
      </w:r>
      <w:r>
        <w:rPr>
          <w:rFonts w:hint="eastAsia" w:ascii="宋体" w:hAnsi="宋体"/>
          <w:b w:val="0"/>
          <w:bCs/>
          <w:color w:val="000000"/>
          <w:sz w:val="28"/>
          <w:szCs w:val="28"/>
        </w:rPr>
        <w:t>月</w:t>
      </w:r>
      <w:r>
        <w:rPr>
          <w:rFonts w:hint="eastAsia" w:ascii="宋体" w:hAnsi="宋体"/>
          <w:b w:val="0"/>
          <w:bCs/>
          <w:color w:val="000000"/>
          <w:sz w:val="28"/>
          <w:szCs w:val="28"/>
          <w:u w:val="single"/>
          <w:lang w:val="en-US" w:eastAsia="zh-CN"/>
        </w:rPr>
        <w:t xml:space="preserve">         </w:t>
      </w:r>
      <w:r>
        <w:rPr>
          <w:rFonts w:hint="eastAsia" w:ascii="宋体" w:hAnsi="宋体"/>
          <w:b w:val="0"/>
          <w:bCs/>
          <w:color w:val="000000"/>
          <w:sz w:val="28"/>
          <w:szCs w:val="28"/>
        </w:rPr>
        <w:t>日</w:t>
      </w:r>
      <w:bookmarkEnd w:id="242"/>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szCs w:val="32"/>
          <w:lang w:val="en-US" w:eastAsia="zh-CN"/>
        </w:rPr>
      </w:pPr>
      <w:bookmarkStart w:id="243" w:name="_Toc29083_WPSOffice_Level1"/>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一、磋商函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二、报价一览表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法定代表人资格证明文件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四、</w:t>
      </w:r>
      <w:r>
        <w:rPr>
          <w:rFonts w:hint="eastAsia" w:ascii="宋体" w:hAnsi="宋体" w:eastAsia="宋体" w:cs="宋体"/>
          <w:sz w:val="28"/>
          <w:szCs w:val="28"/>
          <w:lang w:val="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rPr>
        <w:t>五、技术、商务响应、偏离说明表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8"/>
          <w:szCs w:val="28"/>
          <w:lang w:val="zh-CN"/>
        </w:rPr>
      </w:pPr>
      <w:r>
        <w:rPr>
          <w:rFonts w:hint="eastAsia" w:ascii="宋体" w:hAnsi="宋体" w:eastAsia="宋体" w:cs="宋体"/>
          <w:sz w:val="28"/>
          <w:szCs w:val="28"/>
        </w:rPr>
        <w:t>六、</w:t>
      </w:r>
      <w:r>
        <w:rPr>
          <w:rFonts w:hint="eastAsia" w:ascii="宋体" w:hAnsi="宋体" w:eastAsia="宋体" w:cs="宋体"/>
          <w:sz w:val="28"/>
          <w:szCs w:val="28"/>
          <w:lang w:val="zh-CN"/>
        </w:rPr>
        <w:t>报价一览表（最终）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、无重大违法记录声明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、供应商认为需要提供的资料</w:t>
      </w:r>
    </w:p>
    <w:p>
      <w:pPr>
        <w:pStyle w:val="2"/>
        <w:pageBreakBefore w:val="0"/>
        <w:widowControl w:val="0"/>
        <w:kinsoku/>
        <w:wordWrap/>
        <w:overflowPunct/>
        <w:topLinePunct w:val="0"/>
        <w:bidi w:val="0"/>
        <w:spacing w:line="360" w:lineRule="auto"/>
        <w:ind w:left="0" w:leftChars="0" w:right="0" w:rightChars="0"/>
        <w:textAlignment w:val="auto"/>
        <w:rPr>
          <w:rFonts w:hint="eastAsia"/>
        </w:rPr>
      </w:pPr>
    </w:p>
    <w:p>
      <w:pPr>
        <w:pStyle w:val="2"/>
        <w:pageBreakBefore w:val="0"/>
        <w:widowControl w:val="0"/>
        <w:kinsoku/>
        <w:wordWrap/>
        <w:overflowPunct/>
        <w:topLinePunct w:val="0"/>
        <w:bidi w:val="0"/>
        <w:spacing w:line="360" w:lineRule="auto"/>
        <w:ind w:left="0" w:leftChars="0" w:right="0" w:rightChars="0"/>
        <w:textAlignment w:val="auto"/>
        <w:rPr>
          <w:rFonts w:hint="eastAsia"/>
          <w:lang w:val="zh-CN"/>
        </w:rPr>
      </w:pPr>
    </w:p>
    <w:p>
      <w:pPr>
        <w:pStyle w:val="2"/>
        <w:pageBreakBefore w:val="0"/>
        <w:widowControl w:val="0"/>
        <w:kinsoku/>
        <w:wordWrap/>
        <w:overflowPunct/>
        <w:topLinePunct w:val="0"/>
        <w:bidi w:val="0"/>
        <w:spacing w:line="360" w:lineRule="auto"/>
        <w:ind w:left="0" w:leftChars="0" w:right="0" w:rightChars="0"/>
        <w:textAlignment w:val="auto"/>
      </w:pPr>
    </w:p>
    <w:p>
      <w:pPr>
        <w:pStyle w:val="2"/>
        <w:pageBreakBefore w:val="0"/>
        <w:widowControl w:val="0"/>
        <w:kinsoku/>
        <w:wordWrap/>
        <w:overflowPunct/>
        <w:topLinePunct w:val="0"/>
        <w:bidi w:val="0"/>
        <w:spacing w:line="360" w:lineRule="auto"/>
        <w:ind w:left="0" w:leftChars="0" w:right="0" w:rightChars="0"/>
        <w:textAlignment w:val="auto"/>
        <w:rPr>
          <w:rFonts w:hint="eastAsia"/>
          <w:b w:val="0"/>
          <w:bCs/>
          <w:lang w:val="zh-CN"/>
        </w:rPr>
      </w:pPr>
    </w:p>
    <w:p>
      <w:pPr>
        <w:pageBreakBefore w:val="0"/>
        <w:widowControl w:val="0"/>
        <w:numPr>
          <w:ilvl w:val="0"/>
          <w:numId w:val="0"/>
        </w:numPr>
        <w:kinsoku/>
        <w:wordWrap/>
        <w:overflowPunct/>
        <w:topLinePunct w:val="0"/>
        <w:bidi w:val="0"/>
        <w:spacing w:line="360" w:lineRule="auto"/>
        <w:ind w:left="0" w:leftChars="0" w:right="0" w:rightChars="0"/>
        <w:jc w:val="left"/>
        <w:textAlignment w:val="auto"/>
        <w:rPr>
          <w:rFonts w:hint="eastAsia" w:ascii="宋体" w:hAnsi="宋体" w:eastAsia="宋体" w:cs="宋体"/>
          <w:b/>
          <w:color w:val="000000"/>
          <w:sz w:val="32"/>
        </w:rPr>
      </w:pPr>
    </w:p>
    <w:p>
      <w:pPr>
        <w:pStyle w:val="2"/>
        <w:pageBreakBefore w:val="0"/>
        <w:widowControl w:val="0"/>
        <w:kinsoku/>
        <w:wordWrap/>
        <w:overflowPunct/>
        <w:topLinePunct w:val="0"/>
        <w:bidi w:val="0"/>
        <w:spacing w:line="360" w:lineRule="auto"/>
        <w:ind w:left="0" w:leftChars="0" w:right="0" w:rightChars="0"/>
        <w:textAlignment w:val="auto"/>
        <w:rPr>
          <w:rFonts w:hint="eastAsia"/>
        </w:rPr>
      </w:pPr>
    </w:p>
    <w:p>
      <w:pPr>
        <w:pStyle w:val="2"/>
        <w:pageBreakBefore w:val="0"/>
        <w:widowControl w:val="0"/>
        <w:kinsoku/>
        <w:wordWrap/>
        <w:overflowPunct/>
        <w:topLinePunct w:val="0"/>
        <w:bidi w:val="0"/>
        <w:spacing w:line="360" w:lineRule="auto"/>
        <w:ind w:left="0" w:leftChars="0" w:right="0" w:rightChars="0"/>
        <w:textAlignment w:val="auto"/>
        <w:rPr>
          <w:rFonts w:hint="eastAsia"/>
        </w:rPr>
      </w:pPr>
    </w:p>
    <w:p>
      <w:pPr>
        <w:pStyle w:val="2"/>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000000"/>
          <w:sz w:val="32"/>
        </w:rPr>
      </w:pPr>
    </w:p>
    <w:p>
      <w:pPr>
        <w:pStyle w:val="2"/>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000000"/>
          <w:sz w:val="32"/>
        </w:rPr>
      </w:pPr>
    </w:p>
    <w:p>
      <w:pPr>
        <w:pStyle w:val="2"/>
        <w:pageBreakBefore w:val="0"/>
        <w:widowControl w:val="0"/>
        <w:kinsoku/>
        <w:wordWrap/>
        <w:overflowPunct/>
        <w:topLinePunct w:val="0"/>
        <w:bidi w:val="0"/>
        <w:spacing w:line="360" w:lineRule="auto"/>
        <w:ind w:left="0" w:leftChars="0" w:right="0" w:rightChars="0"/>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32"/>
        </w:rPr>
      </w:pPr>
      <w:r>
        <w:rPr>
          <w:rFonts w:hint="eastAsia" w:ascii="宋体" w:hAnsi="宋体" w:eastAsia="宋体" w:cs="宋体"/>
          <w:b/>
          <w:color w:val="000000"/>
          <w:sz w:val="32"/>
        </w:rPr>
        <w:t>一、</w:t>
      </w:r>
      <w:r>
        <w:rPr>
          <w:rFonts w:ascii="宋体" w:hAnsi="宋体" w:eastAsia="宋体" w:cs="宋体"/>
          <w:b/>
          <w:color w:val="000000"/>
          <w:sz w:val="32"/>
        </w:rPr>
        <w:t xml:space="preserve"> </w:t>
      </w:r>
      <w:r>
        <w:rPr>
          <w:rFonts w:hint="eastAsia" w:ascii="宋体" w:hAnsi="宋体" w:eastAsia="宋体" w:cs="宋体"/>
          <w:b/>
          <w:color w:val="000000"/>
          <w:sz w:val="32"/>
        </w:rPr>
        <w:t>磋商函</w:t>
      </w:r>
      <w:bookmarkEnd w:id="243"/>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02" w:firstLineChars="200"/>
        <w:textAlignment w:val="auto"/>
        <w:rPr>
          <w:b/>
          <w:color w:val="000000"/>
          <w:sz w:val="20"/>
          <w:lang w:val="en-US"/>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sz w:val="14"/>
        </w:rPr>
      </w:pPr>
      <w:r>
        <w:rPr>
          <w:rFonts w:hint="eastAsia"/>
          <w:color w:val="000000"/>
        </w:rPr>
        <w:t>致：</w:t>
      </w:r>
      <w:r>
        <w:rPr>
          <w:rFonts w:hint="eastAsia"/>
          <w:color w:val="000000"/>
          <w:u w:val="single"/>
          <w:lang w:val="en-US" w:eastAsia="zh-CN"/>
        </w:rPr>
        <w:t>湖北十堰职业技术（集团）学校</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color w:val="000000"/>
        </w:rPr>
      </w:pPr>
      <w:r>
        <w:rPr>
          <w:rFonts w:hint="eastAsia"/>
          <w:color w:val="000000"/>
        </w:rPr>
        <w:t>根据你方项目编号为的磋商文件，遵照《中华人民共和国招标投标法》等有关规定，了解和研究上述磋商文件的供应商须知、合同条款、项目需求及其他有关文件后，我方愿以人民币（小写）的投标总报价并按上述项目要求、合同条款的条件要求履行合同责任和义务。</w:t>
      </w:r>
    </w:p>
    <w:p>
      <w:pPr>
        <w:pStyle w:val="36"/>
        <w:keepNext w:val="0"/>
        <w:keepLines w:val="0"/>
        <w:pageBreakBefore w:val="0"/>
        <w:widowControl w:val="0"/>
        <w:numPr>
          <w:ilvl w:val="0"/>
          <w:numId w:val="0"/>
        </w:numPr>
        <w:tabs>
          <w:tab w:val="left" w:pos="1152"/>
        </w:tabs>
        <w:kinsoku/>
        <w:wordWrap/>
        <w:overflowPunct/>
        <w:topLinePunct w:val="0"/>
        <w:autoSpaceDE/>
        <w:autoSpaceDN/>
        <w:bidi w:val="0"/>
        <w:adjustRightInd/>
        <w:snapToGrid/>
        <w:spacing w:line="360" w:lineRule="auto"/>
        <w:ind w:left="0" w:leftChars="0" w:right="0" w:rightChars="0"/>
        <w:jc w:val="left"/>
        <w:textAlignment w:val="auto"/>
        <w:rPr>
          <w:rFonts w:ascii="Times New Roman" w:eastAsia="Times New Roman"/>
          <w:color w:val="000000"/>
          <w:sz w:val="24"/>
        </w:rPr>
      </w:pPr>
      <w:r>
        <w:rPr>
          <w:rFonts w:hint="eastAsia"/>
          <w:color w:val="000000"/>
          <w:sz w:val="24"/>
          <w:lang w:val="en-US" w:eastAsia="zh-CN"/>
        </w:rPr>
        <w:t>1.</w:t>
      </w:r>
      <w:r>
        <w:rPr>
          <w:rFonts w:hint="eastAsia"/>
          <w:color w:val="000000"/>
          <w:sz w:val="24"/>
        </w:rPr>
        <w:t>我方已详细审核全部磋商文件，包括修改文件及有关附件。</w:t>
      </w:r>
    </w:p>
    <w:p>
      <w:pPr>
        <w:pStyle w:val="36"/>
        <w:keepNext w:val="0"/>
        <w:keepLines w:val="0"/>
        <w:pageBreakBefore w:val="0"/>
        <w:widowControl w:val="0"/>
        <w:numPr>
          <w:ilvl w:val="0"/>
          <w:numId w:val="0"/>
        </w:numPr>
        <w:tabs>
          <w:tab w:val="left" w:pos="1152"/>
        </w:tabs>
        <w:kinsoku/>
        <w:wordWrap/>
        <w:overflowPunct/>
        <w:topLinePunct w:val="0"/>
        <w:autoSpaceDE/>
        <w:autoSpaceDN/>
        <w:bidi w:val="0"/>
        <w:adjustRightInd/>
        <w:snapToGrid/>
        <w:spacing w:line="360" w:lineRule="auto"/>
        <w:ind w:left="0" w:leftChars="0" w:right="0" w:rightChars="0"/>
        <w:jc w:val="left"/>
        <w:textAlignment w:val="auto"/>
        <w:rPr>
          <w:rFonts w:ascii="Times New Roman" w:eastAsia="Times New Roman"/>
          <w:color w:val="000000"/>
          <w:sz w:val="24"/>
        </w:rPr>
      </w:pPr>
      <w:r>
        <w:rPr>
          <w:rFonts w:hint="eastAsia"/>
          <w:color w:val="000000"/>
          <w:sz w:val="24"/>
          <w:lang w:val="en-US" w:eastAsia="zh-CN"/>
        </w:rPr>
        <w:t>2.</w:t>
      </w:r>
      <w:r>
        <w:rPr>
          <w:rFonts w:hint="eastAsia"/>
          <w:color w:val="000000"/>
          <w:sz w:val="24"/>
        </w:rPr>
        <w:t>我方承认投标一览表是我方磋商函的组成部分。</w:t>
      </w:r>
    </w:p>
    <w:p>
      <w:pPr>
        <w:pStyle w:val="36"/>
        <w:keepNext w:val="0"/>
        <w:keepLines w:val="0"/>
        <w:pageBreakBefore w:val="0"/>
        <w:widowControl w:val="0"/>
        <w:numPr>
          <w:ilvl w:val="0"/>
          <w:numId w:val="0"/>
        </w:numPr>
        <w:tabs>
          <w:tab w:val="left" w:pos="1212"/>
          <w:tab w:val="left" w:pos="7811"/>
        </w:tabs>
        <w:kinsoku/>
        <w:wordWrap/>
        <w:overflowPunct/>
        <w:topLinePunct w:val="0"/>
        <w:autoSpaceDE/>
        <w:autoSpaceDN/>
        <w:bidi w:val="0"/>
        <w:adjustRightInd/>
        <w:snapToGrid/>
        <w:spacing w:line="360" w:lineRule="auto"/>
        <w:ind w:left="0" w:leftChars="0" w:right="0" w:rightChars="0"/>
        <w:jc w:val="left"/>
        <w:textAlignment w:val="auto"/>
        <w:rPr>
          <w:color w:val="000000"/>
          <w:sz w:val="24"/>
        </w:rPr>
      </w:pPr>
      <w:r>
        <w:rPr>
          <w:rFonts w:hint="eastAsia"/>
          <w:color w:val="000000"/>
          <w:sz w:val="24"/>
          <w:lang w:val="en-US" w:eastAsia="zh-CN"/>
        </w:rPr>
        <w:t>3.</w:t>
      </w:r>
      <w:r>
        <w:rPr>
          <w:rFonts w:hint="eastAsia"/>
          <w:color w:val="000000"/>
          <w:sz w:val="24"/>
        </w:rPr>
        <w:t>一旦我方中标，我方将按投标函承诺的服务期</w:t>
      </w:r>
      <w:r>
        <w:rPr>
          <w:color w:val="000000"/>
          <w:sz w:val="24"/>
          <w:u w:val="single"/>
        </w:rPr>
        <w:tab/>
      </w:r>
      <w:r>
        <w:rPr>
          <w:rFonts w:hint="eastAsia"/>
          <w:color w:val="000000"/>
          <w:sz w:val="24"/>
        </w:rPr>
        <w:t>完成该项目。</w:t>
      </w:r>
    </w:p>
    <w:p>
      <w:pPr>
        <w:pStyle w:val="36"/>
        <w:keepNext w:val="0"/>
        <w:keepLines w:val="0"/>
        <w:pageBreakBefore w:val="0"/>
        <w:widowControl w:val="0"/>
        <w:numPr>
          <w:ilvl w:val="0"/>
          <w:numId w:val="0"/>
        </w:numPr>
        <w:tabs>
          <w:tab w:val="left" w:pos="1212"/>
        </w:tabs>
        <w:kinsoku/>
        <w:wordWrap/>
        <w:overflowPunct/>
        <w:topLinePunct w:val="0"/>
        <w:autoSpaceDE/>
        <w:autoSpaceDN/>
        <w:bidi w:val="0"/>
        <w:adjustRightInd/>
        <w:snapToGrid/>
        <w:spacing w:line="360" w:lineRule="auto"/>
        <w:ind w:left="0" w:leftChars="0" w:right="0" w:rightChars="0"/>
        <w:jc w:val="left"/>
        <w:textAlignment w:val="auto"/>
        <w:rPr>
          <w:color w:val="000000"/>
          <w:sz w:val="24"/>
        </w:rPr>
      </w:pPr>
      <w:r>
        <w:rPr>
          <w:rFonts w:hint="eastAsia"/>
          <w:color w:val="000000"/>
          <w:spacing w:val="-5"/>
          <w:sz w:val="24"/>
          <w:lang w:val="en-US" w:eastAsia="zh-CN"/>
        </w:rPr>
        <w:t>4.</w:t>
      </w:r>
      <w:r>
        <w:rPr>
          <w:rFonts w:hint="eastAsia"/>
          <w:color w:val="000000"/>
          <w:spacing w:val="-5"/>
          <w:sz w:val="24"/>
        </w:rPr>
        <w:t>除非另外达成协议并生效，你方的成交通知书和本竞争性磋商响应文件将成为约束双方的</w:t>
      </w:r>
      <w:r>
        <w:rPr>
          <w:rFonts w:hint="eastAsia"/>
          <w:color w:val="000000"/>
          <w:sz w:val="24"/>
        </w:rPr>
        <w:t>合同文件的组成部分。</w:t>
      </w:r>
    </w:p>
    <w:p>
      <w:pPr>
        <w:pStyle w:val="36"/>
        <w:keepNext w:val="0"/>
        <w:keepLines w:val="0"/>
        <w:pageBreakBefore w:val="0"/>
        <w:widowControl w:val="0"/>
        <w:numPr>
          <w:ilvl w:val="0"/>
          <w:numId w:val="0"/>
        </w:numPr>
        <w:tabs>
          <w:tab w:val="left" w:pos="1212"/>
        </w:tabs>
        <w:kinsoku/>
        <w:wordWrap/>
        <w:overflowPunct/>
        <w:topLinePunct w:val="0"/>
        <w:autoSpaceDE/>
        <w:autoSpaceDN/>
        <w:bidi w:val="0"/>
        <w:adjustRightInd/>
        <w:snapToGrid/>
        <w:spacing w:line="360" w:lineRule="auto"/>
        <w:ind w:left="0" w:leftChars="0" w:right="0" w:rightChars="0"/>
        <w:jc w:val="left"/>
        <w:textAlignment w:val="auto"/>
        <w:rPr>
          <w:color w:val="000000"/>
          <w:sz w:val="24"/>
        </w:rPr>
      </w:pPr>
      <w:r>
        <w:rPr>
          <w:rFonts w:hint="eastAsia"/>
          <w:color w:val="000000"/>
          <w:sz w:val="24"/>
          <w:lang w:val="en-US" w:eastAsia="zh-CN"/>
        </w:rPr>
        <w:t>5.</w:t>
      </w:r>
      <w:r>
        <w:rPr>
          <w:rFonts w:hint="eastAsia"/>
          <w:color w:val="000000"/>
          <w:sz w:val="24"/>
        </w:rPr>
        <w:t>我方在此声明，所递交的</w:t>
      </w:r>
      <w:r>
        <w:rPr>
          <w:rFonts w:hint="eastAsia"/>
          <w:color w:val="000000"/>
          <w:spacing w:val="-5"/>
          <w:sz w:val="24"/>
        </w:rPr>
        <w:t>竞争性磋商响应文件</w:t>
      </w:r>
      <w:r>
        <w:rPr>
          <w:rFonts w:hint="eastAsia"/>
          <w:color w:val="000000"/>
          <w:sz w:val="24"/>
        </w:rPr>
        <w:t>及有关资料内容真实，准确和完整。</w:t>
      </w: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r>
        <w:rPr>
          <w:rFonts w:hint="eastAsia"/>
          <w:color w:val="000000"/>
        </w:rPr>
        <w:t xml:space="preserve">供应商名称（公章）：                         </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r>
        <w:rPr>
          <w:rFonts w:hint="eastAsia"/>
          <w:color w:val="000000"/>
        </w:rPr>
        <w:t xml:space="preserve">法定代表人或其授权代表（签字或盖章）：              </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r>
        <w:rPr>
          <w:rFonts w:hint="eastAsia"/>
          <w:color w:val="000000"/>
        </w:rPr>
        <w:t xml:space="preserve">日  期：     年   月   日 </w:t>
      </w: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bookmarkStart w:id="244" w:name="二、磋商函附录"/>
      <w:bookmarkEnd w:id="244"/>
      <w:bookmarkStart w:id="245" w:name="_Toc1367_WPSOffice_Level1"/>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32"/>
        </w:rPr>
      </w:pPr>
      <w:r>
        <w:rPr>
          <w:rFonts w:hint="eastAsia" w:ascii="宋体" w:hAnsi="宋体" w:eastAsia="宋体" w:cs="宋体"/>
          <w:b/>
          <w:color w:val="000000"/>
          <w:sz w:val="32"/>
        </w:rPr>
        <w:t>二、报价一览表</w:t>
      </w:r>
      <w:bookmarkEnd w:id="245"/>
    </w:p>
    <w:p>
      <w:pPr>
        <w:pageBreakBefore w:val="0"/>
        <w:widowControl w:val="0"/>
        <w:kinsoku/>
        <w:wordWrap/>
        <w:overflowPunct/>
        <w:topLinePunct w:val="0"/>
        <w:autoSpaceDE w:val="0"/>
        <w:autoSpaceDN w:val="0"/>
        <w:bidi w:val="0"/>
        <w:adjustRightInd w:val="0"/>
        <w:spacing w:line="360" w:lineRule="auto"/>
        <w:ind w:left="0" w:leftChars="0" w:right="0" w:rightChars="0"/>
        <w:textAlignment w:val="auto"/>
        <w:rPr>
          <w:rFonts w:hint="eastAsia"/>
          <w:color w:val="000000"/>
          <w:u w:val="none"/>
          <w:lang w:val="en-US" w:eastAsia="zh-CN"/>
        </w:rPr>
      </w:pPr>
      <w:r>
        <w:rPr>
          <w:rFonts w:hint="eastAsia" w:ascii="宋体" w:hAnsi="宋体" w:eastAsia="宋体" w:cs="宋体"/>
          <w:color w:val="000000"/>
          <w:kern w:val="2"/>
          <w:sz w:val="24"/>
          <w:szCs w:val="24"/>
          <w:lang w:val="en-US" w:eastAsia="zh-CN" w:bidi="ar-SA"/>
        </w:rPr>
        <w:t>项目名称</w:t>
      </w:r>
      <w:r>
        <w:rPr>
          <w:rFonts w:hint="eastAsia" w:ascii="宋体" w:hAnsi="宋体" w:eastAsia="宋体" w:cs="宋体"/>
          <w:color w:val="000000"/>
          <w:kern w:val="2"/>
          <w:sz w:val="24"/>
          <w:szCs w:val="24"/>
          <w:lang w:val="zh-CN" w:eastAsia="zh-CN" w:bidi="ar-SA"/>
        </w:rPr>
        <w:t>：</w:t>
      </w:r>
      <w:r>
        <w:rPr>
          <w:rFonts w:hint="eastAsia" w:ascii="宋体" w:hAnsi="宋体"/>
          <w:b/>
          <w:bCs/>
          <w:color w:val="000000"/>
          <w:sz w:val="30"/>
          <w:szCs w:val="30"/>
          <w:u w:val="single"/>
        </w:rPr>
        <w:t>资产管理系统购置项目</w:t>
      </w:r>
      <w:r>
        <w:rPr>
          <w:rFonts w:hint="eastAsia" w:ascii="宋体" w:hAnsi="宋体"/>
          <w:b/>
          <w:bCs/>
          <w:color w:val="000000"/>
          <w:sz w:val="30"/>
          <w:szCs w:val="30"/>
          <w:u w:val="single"/>
          <w:lang w:val="en-US" w:eastAsia="zh-CN"/>
        </w:rPr>
        <w:t xml:space="preserve">          </w:t>
      </w:r>
      <w:r>
        <w:rPr>
          <w:rFonts w:hint="eastAsia"/>
          <w:color w:val="000000"/>
          <w:u w:val="none"/>
          <w:lang w:val="en-US" w:eastAsia="zh-CN"/>
        </w:rPr>
        <w:t xml:space="preserve">  </w:t>
      </w:r>
    </w:p>
    <w:p>
      <w:pPr>
        <w:pageBreakBefore w:val="0"/>
        <w:widowControl w:val="0"/>
        <w:kinsoku/>
        <w:wordWrap/>
        <w:overflowPunct/>
        <w:topLinePunct w:val="0"/>
        <w:autoSpaceDE w:val="0"/>
        <w:autoSpaceDN w:val="0"/>
        <w:bidi w:val="0"/>
        <w:adjustRightInd w:val="0"/>
        <w:spacing w:line="360" w:lineRule="auto"/>
        <w:ind w:left="0" w:leftChars="0" w:right="0" w:rightChars="0"/>
        <w:textAlignment w:val="auto"/>
        <w:rPr>
          <w:rFonts w:hint="default" w:eastAsia="宋体"/>
          <w:color w:val="000000"/>
          <w:u w:val="single"/>
          <w:lang w:val="en-US" w:eastAsia="zh-CN"/>
        </w:rPr>
      </w:pPr>
      <w:r>
        <w:rPr>
          <w:rFonts w:hint="eastAsia" w:ascii="宋体" w:hAnsi="宋体" w:eastAsia="宋体" w:cs="宋体"/>
          <w:color w:val="000000"/>
          <w:kern w:val="2"/>
          <w:sz w:val="24"/>
          <w:szCs w:val="24"/>
          <w:lang w:val="en-US" w:eastAsia="zh-CN" w:bidi="ar-SA"/>
        </w:rPr>
        <w:t>供应商名称：</w:t>
      </w:r>
      <w:r>
        <w:rPr>
          <w:rFonts w:hint="eastAsia"/>
          <w:color w:val="000000"/>
          <w:u w:val="single"/>
          <w:lang w:val="en-US" w:eastAsia="zh-CN"/>
        </w:rPr>
        <w:t xml:space="preserve">                                                                                       </w:t>
      </w:r>
      <w:r>
        <w:rPr>
          <w:rFonts w:hint="eastAsia"/>
          <w:color w:val="000000"/>
          <w:u w:val="none"/>
          <w:lang w:val="en-US" w:eastAsia="zh-CN"/>
        </w:rPr>
        <w:t xml:space="preserve">                  </w:t>
      </w:r>
    </w:p>
    <w:tbl>
      <w:tblPr>
        <w:tblStyle w:val="17"/>
        <w:tblW w:w="8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2"/>
        <w:gridCol w:w="6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1" w:hRule="atLeast"/>
        </w:trPr>
        <w:tc>
          <w:tcPr>
            <w:tcW w:w="1622"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color w:val="000000"/>
                <w:sz w:val="17"/>
              </w:rPr>
            </w:pPr>
          </w:p>
          <w:p>
            <w:pPr>
              <w:pStyle w:val="35"/>
              <w:pageBreakBefore w:val="0"/>
              <w:widowControl w:val="0"/>
              <w:tabs>
                <w:tab w:val="left" w:pos="607"/>
              </w:tabs>
              <w:kinsoku/>
              <w:wordWrap/>
              <w:overflowPunct/>
              <w:topLinePunct w:val="0"/>
              <w:bidi w:val="0"/>
              <w:spacing w:line="360" w:lineRule="auto"/>
              <w:ind w:left="0" w:leftChars="0" w:right="0" w:rightChars="0"/>
              <w:jc w:val="center"/>
              <w:textAlignment w:val="auto"/>
              <w:rPr>
                <w:color w:val="000000"/>
                <w:sz w:val="24"/>
              </w:rPr>
            </w:pPr>
            <w:r>
              <w:rPr>
                <w:rFonts w:hint="eastAsia"/>
                <w:color w:val="000000"/>
                <w:sz w:val="24"/>
              </w:rPr>
              <w:t>项</w:t>
            </w:r>
            <w:r>
              <w:rPr>
                <w:color w:val="000000"/>
                <w:sz w:val="24"/>
              </w:rPr>
              <w:tab/>
            </w:r>
            <w:r>
              <w:rPr>
                <w:rFonts w:hint="eastAsia"/>
                <w:color w:val="000000"/>
                <w:sz w:val="24"/>
              </w:rPr>
              <w:t>目</w:t>
            </w:r>
          </w:p>
        </w:tc>
        <w:tc>
          <w:tcPr>
            <w:tcW w:w="6698"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color w:val="000000"/>
                <w:sz w:val="17"/>
              </w:rPr>
            </w:pPr>
          </w:p>
          <w:p>
            <w:pPr>
              <w:pStyle w:val="35"/>
              <w:pageBreakBefore w:val="0"/>
              <w:widowControl w:val="0"/>
              <w:tabs>
                <w:tab w:val="left" w:pos="1810"/>
              </w:tabs>
              <w:kinsoku/>
              <w:wordWrap/>
              <w:overflowPunct/>
              <w:topLinePunct w:val="0"/>
              <w:bidi w:val="0"/>
              <w:spacing w:line="360" w:lineRule="auto"/>
              <w:ind w:left="0" w:leftChars="0" w:right="0" w:rightChars="0"/>
              <w:jc w:val="center"/>
              <w:textAlignment w:val="auto"/>
              <w:rPr>
                <w:color w:val="000000"/>
                <w:sz w:val="24"/>
              </w:rPr>
            </w:pPr>
            <w:r>
              <w:rPr>
                <w:rFonts w:hint="eastAsia"/>
                <w:color w:val="000000"/>
                <w:sz w:val="24"/>
              </w:rPr>
              <w:t>内</w:t>
            </w:r>
            <w:r>
              <w:rPr>
                <w:color w:val="000000"/>
                <w:sz w:val="24"/>
              </w:rPr>
              <w:tab/>
            </w:r>
            <w:r>
              <w:rPr>
                <w:rFonts w:hint="eastAsia"/>
                <w:color w:val="000000"/>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622" w:type="dxa"/>
            <w:vMerge w:val="restart"/>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ascii="新宋体" w:eastAsia="新宋体"/>
                <w:color w:val="000000"/>
                <w:sz w:val="24"/>
              </w:rPr>
            </w:pPr>
            <w:r>
              <w:rPr>
                <w:rFonts w:hint="eastAsia" w:ascii="新宋体" w:eastAsia="新宋体"/>
                <w:color w:val="000000"/>
                <w:sz w:val="24"/>
              </w:rPr>
              <w:t>投标报价</w:t>
            </w:r>
          </w:p>
        </w:tc>
        <w:tc>
          <w:tcPr>
            <w:tcW w:w="6698" w:type="dxa"/>
            <w:vAlign w:val="center"/>
          </w:tcPr>
          <w:p>
            <w:pPr>
              <w:pStyle w:val="35"/>
              <w:pageBreakBefore w:val="0"/>
              <w:widowControl w:val="0"/>
              <w:kinsoku/>
              <w:wordWrap/>
              <w:overflowPunct/>
              <w:topLinePunct w:val="0"/>
              <w:bidi w:val="0"/>
              <w:spacing w:line="360" w:lineRule="auto"/>
              <w:ind w:left="0" w:leftChars="0" w:right="0" w:rightChars="0"/>
              <w:jc w:val="left"/>
              <w:textAlignment w:val="auto"/>
              <w:rPr>
                <w:rFonts w:hint="eastAsia" w:ascii="新宋体" w:eastAsia="新宋体"/>
                <w:color w:val="000000"/>
                <w:sz w:val="24"/>
                <w:lang w:val="en-US" w:eastAsia="zh-CN"/>
              </w:rPr>
            </w:pPr>
            <w:r>
              <w:rPr>
                <w:rFonts w:hint="eastAsia" w:ascii="新宋体" w:eastAsia="新宋体"/>
                <w:color w:val="000000"/>
                <w:sz w:val="24"/>
                <w:lang w:val="en-US" w:eastAsia="zh-CN"/>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622" w:type="dxa"/>
            <w:vMerge w:val="continue"/>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hint="eastAsia" w:ascii="新宋体" w:eastAsia="新宋体"/>
                <w:color w:val="000000"/>
                <w:sz w:val="24"/>
              </w:rPr>
            </w:pPr>
          </w:p>
        </w:tc>
        <w:tc>
          <w:tcPr>
            <w:tcW w:w="6698" w:type="dxa"/>
            <w:vAlign w:val="center"/>
          </w:tcPr>
          <w:p>
            <w:pPr>
              <w:pStyle w:val="35"/>
              <w:pageBreakBefore w:val="0"/>
              <w:widowControl w:val="0"/>
              <w:kinsoku/>
              <w:wordWrap/>
              <w:overflowPunct/>
              <w:topLinePunct w:val="0"/>
              <w:bidi w:val="0"/>
              <w:spacing w:line="360" w:lineRule="auto"/>
              <w:ind w:left="0" w:leftChars="0" w:right="0" w:rightChars="0"/>
              <w:jc w:val="left"/>
              <w:textAlignment w:val="auto"/>
              <w:rPr>
                <w:rFonts w:hint="eastAsia" w:ascii="新宋体" w:eastAsia="新宋体"/>
                <w:color w:val="000000"/>
                <w:sz w:val="24"/>
                <w:lang w:val="en-US" w:eastAsia="zh-CN"/>
              </w:rPr>
            </w:pPr>
            <w:r>
              <w:rPr>
                <w:rFonts w:hint="eastAsia" w:ascii="新宋体" w:eastAsia="新宋体"/>
                <w:color w:val="000000"/>
                <w:sz w:val="24"/>
                <w:lang w:val="en-US"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622"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hint="eastAsia" w:ascii="新宋体" w:eastAsia="新宋体"/>
                <w:color w:val="000000"/>
                <w:sz w:val="24"/>
                <w:lang w:eastAsia="zh-CN"/>
              </w:rPr>
            </w:pPr>
            <w:r>
              <w:rPr>
                <w:rFonts w:hint="eastAsia" w:ascii="新宋体" w:eastAsia="新宋体"/>
                <w:color w:val="000000"/>
                <w:sz w:val="24"/>
                <w:lang w:val="en-US" w:eastAsia="zh-CN"/>
              </w:rPr>
              <w:t>交付使用期</w:t>
            </w:r>
          </w:p>
        </w:tc>
        <w:tc>
          <w:tcPr>
            <w:tcW w:w="6698"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asci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622"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ascii="新宋体" w:eastAsia="新宋体"/>
                <w:color w:val="000000"/>
                <w:sz w:val="24"/>
              </w:rPr>
            </w:pPr>
            <w:r>
              <w:rPr>
                <w:rFonts w:hint="eastAsia" w:ascii="新宋体" w:eastAsia="新宋体"/>
                <w:color w:val="000000"/>
                <w:sz w:val="24"/>
              </w:rPr>
              <w:t>备注</w:t>
            </w:r>
          </w:p>
        </w:tc>
        <w:tc>
          <w:tcPr>
            <w:tcW w:w="6698"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ascii="Times New Roman"/>
                <w:color w:val="000000"/>
                <w:sz w:val="24"/>
              </w:rPr>
            </w:pPr>
          </w:p>
        </w:tc>
      </w:tr>
    </w:tbl>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r>
        <w:rPr>
          <w:rFonts w:hint="eastAsia"/>
          <w:color w:val="000000"/>
        </w:rPr>
        <w:t>注：</w:t>
      </w:r>
      <w:r>
        <w:rPr>
          <w:color w:val="000000"/>
        </w:rPr>
        <w:t>1</w:t>
      </w:r>
      <w:r>
        <w:rPr>
          <w:rFonts w:hint="eastAsia"/>
          <w:color w:val="000000"/>
        </w:rPr>
        <w:t>、此表应按磋商文件要求单独用信封密封一份递交，以便唱标所用。</w:t>
      </w: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r>
        <w:rPr>
          <w:rFonts w:hint="eastAsia"/>
          <w:color w:val="000000"/>
        </w:rPr>
        <w:t xml:space="preserve">供应商名称（公章）：                         </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r>
        <w:rPr>
          <w:rFonts w:hint="eastAsia"/>
          <w:color w:val="000000"/>
        </w:rPr>
        <w:t xml:space="preserve">法定代表人或其授权代表（签字或盖章）：              </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r>
        <w:rPr>
          <w:rFonts w:hint="eastAsia"/>
          <w:color w:val="000000"/>
        </w:rPr>
        <w:t xml:space="preserve">日  期：     年   月   日 </w:t>
      </w: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sz w:val="25"/>
        </w:rPr>
      </w:pPr>
    </w:p>
    <w:p>
      <w:pPr>
        <w:pageBreakBefore w:val="0"/>
        <w:widowControl w:val="0"/>
        <w:kinsoku/>
        <w:wordWrap/>
        <w:overflowPunct/>
        <w:topLinePunct w:val="0"/>
        <w:bidi w:val="0"/>
        <w:spacing w:line="360" w:lineRule="auto"/>
        <w:ind w:left="0" w:leftChars="0" w:right="0" w:rightChars="0"/>
        <w:textAlignment w:val="auto"/>
        <w:rPr>
          <w:color w:val="000000"/>
        </w:rPr>
        <w:sectPr>
          <w:footerReference r:id="rId3" w:type="default"/>
          <w:pgSz w:w="11910" w:h="16840"/>
          <w:pgMar w:top="1440" w:right="1800" w:bottom="1440" w:left="1800" w:header="0" w:footer="1237" w:gutter="0"/>
          <w:pgNumType w:start="33"/>
          <w:cols w:equalWidth="0" w:num="1">
            <w:col w:w="10470"/>
          </w:cols>
        </w:sectPr>
      </w:pPr>
    </w:p>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32"/>
        </w:rPr>
      </w:pPr>
      <w:bookmarkStart w:id="246" w:name="三、法定代表人资格证明文件"/>
      <w:bookmarkEnd w:id="246"/>
      <w:bookmarkStart w:id="247" w:name="_Toc20254_WPSOffice_Level1"/>
      <w:r>
        <w:rPr>
          <w:rFonts w:hint="eastAsia" w:ascii="宋体" w:hAnsi="宋体" w:eastAsia="宋体" w:cs="宋体"/>
          <w:b/>
          <w:color w:val="000000"/>
          <w:sz w:val="32"/>
        </w:rPr>
        <w:t>三、法定代表人资格证明文件</w:t>
      </w:r>
      <w:bookmarkEnd w:id="247"/>
    </w:p>
    <w:p>
      <w:pPr>
        <w:pStyle w:val="9"/>
        <w:pageBreakBefore w:val="0"/>
        <w:widowControl w:val="0"/>
        <w:kinsoku/>
        <w:wordWrap/>
        <w:overflowPunct/>
        <w:topLinePunct w:val="0"/>
        <w:bidi w:val="0"/>
        <w:spacing w:line="360" w:lineRule="auto"/>
        <w:ind w:left="0" w:leftChars="0" w:right="0" w:rightChars="0"/>
        <w:textAlignment w:val="auto"/>
        <w:rPr>
          <w:b/>
          <w:color w:val="000000"/>
          <w:sz w:val="20"/>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sz w:val="24"/>
          <w:szCs w:val="24"/>
          <w:u w:val="single"/>
          <w:lang w:val="en-US" w:eastAsia="zh-CN"/>
        </w:rPr>
      </w:pPr>
      <w:r>
        <w:rPr>
          <w:rFonts w:hint="eastAsia"/>
          <w:sz w:val="24"/>
          <w:szCs w:val="24"/>
          <w:lang w:val="en-US" w:eastAsia="zh-CN"/>
        </w:rPr>
        <w:t>单位名称：</w:t>
      </w:r>
      <w:r>
        <w:rPr>
          <w:rFonts w:hint="eastAsia"/>
          <w:sz w:val="24"/>
          <w:szCs w:val="24"/>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eastAsia="宋体"/>
          <w:sz w:val="24"/>
          <w:szCs w:val="24"/>
          <w:u w:val="single"/>
          <w:lang w:val="en-US" w:eastAsia="zh-CN"/>
        </w:rPr>
      </w:pPr>
      <w:r>
        <w:rPr>
          <w:rFonts w:hint="eastAsia"/>
          <w:sz w:val="24"/>
          <w:szCs w:val="24"/>
        </w:rPr>
        <w:t>地</w:t>
      </w:r>
      <w:r>
        <w:rPr>
          <w:sz w:val="24"/>
          <w:szCs w:val="24"/>
        </w:rPr>
        <w:tab/>
      </w:r>
      <w:r>
        <w:rPr>
          <w:rFonts w:hint="eastAsia"/>
          <w:sz w:val="24"/>
          <w:szCs w:val="24"/>
        </w:rPr>
        <w:t>址：</w:t>
      </w:r>
      <w:r>
        <w:rPr>
          <w:rFonts w:hint="eastAsia"/>
          <w:sz w:val="24"/>
          <w:szCs w:val="24"/>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sz w:val="24"/>
          <w:szCs w:val="24"/>
        </w:rPr>
      </w:pPr>
      <w:r>
        <w:rPr>
          <w:rFonts w:hint="eastAsia"/>
          <w:sz w:val="24"/>
          <w:szCs w:val="24"/>
        </w:rPr>
        <w:t>成立时间：</w:t>
      </w:r>
      <w:r>
        <w:rPr>
          <w:rFonts w:hint="eastAsia"/>
          <w:sz w:val="24"/>
          <w:szCs w:val="24"/>
          <w:u w:val="single"/>
          <w:lang w:val="en-US" w:eastAsia="zh-CN"/>
        </w:rPr>
        <w:t xml:space="preserve">       </w:t>
      </w:r>
      <w:r>
        <w:rPr>
          <w:sz w:val="24"/>
          <w:szCs w:val="24"/>
        </w:rPr>
        <w:tab/>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法定代表姓名：</w:t>
      </w:r>
      <w:r>
        <w:rPr>
          <w:rFonts w:hint="eastAsia"/>
          <w:sz w:val="24"/>
          <w:szCs w:val="24"/>
          <w:u w:val="single"/>
          <w:lang w:val="en-US" w:eastAsia="zh-CN"/>
        </w:rPr>
        <w:t xml:space="preserve">                        </w:t>
      </w:r>
      <w:r>
        <w:rPr>
          <w:rFonts w:hint="eastAsia"/>
          <w:sz w:val="24"/>
          <w:szCs w:val="24"/>
          <w:lang w:val="en-US" w:eastAsia="zh-CN"/>
        </w:rPr>
        <w:tab/>
      </w:r>
      <w:r>
        <w:rPr>
          <w:rFonts w:hint="eastAsia"/>
          <w:sz w:val="24"/>
          <w:szCs w:val="24"/>
          <w:lang w:val="en-US" w:eastAsia="zh-CN"/>
        </w:rPr>
        <w:tab/>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性别：</w:t>
      </w:r>
      <w:r>
        <w:rPr>
          <w:rFonts w:hint="eastAsia"/>
          <w:sz w:val="24"/>
          <w:szCs w:val="24"/>
          <w:u w:val="single"/>
          <w:lang w:val="en-US" w:eastAsia="zh-CN"/>
        </w:rPr>
        <w:t xml:space="preserve">                                </w:t>
      </w:r>
      <w:r>
        <w:rPr>
          <w:rFonts w:hint="eastAsia"/>
          <w:sz w:val="24"/>
          <w:szCs w:val="24"/>
          <w:lang w:val="en-US" w:eastAsia="zh-CN"/>
        </w:rPr>
        <w:tab/>
      </w:r>
      <w:r>
        <w:rPr>
          <w:rFonts w:hint="eastAsia"/>
          <w:sz w:val="24"/>
          <w:szCs w:val="24"/>
          <w:lang w:val="en-US" w:eastAsia="zh-CN"/>
        </w:rPr>
        <w:tab/>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年龄：</w:t>
      </w:r>
      <w:r>
        <w:rPr>
          <w:rFonts w:hint="eastAsia"/>
          <w:sz w:val="24"/>
          <w:szCs w:val="24"/>
          <w:u w:val="single"/>
          <w:lang w:val="en-US" w:eastAsia="zh-CN"/>
        </w:rPr>
        <w:t xml:space="preserve">                                </w:t>
      </w:r>
      <w:r>
        <w:rPr>
          <w:rFonts w:hint="eastAsia"/>
          <w:sz w:val="24"/>
          <w:szCs w:val="24"/>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sz w:val="24"/>
          <w:szCs w:val="24"/>
          <w:u w:val="single"/>
          <w:lang w:val="en-US" w:eastAsia="zh-CN"/>
        </w:rPr>
      </w:pPr>
      <w:r>
        <w:rPr>
          <w:rFonts w:hint="eastAsia"/>
          <w:sz w:val="24"/>
          <w:szCs w:val="24"/>
          <w:lang w:val="en-US" w:eastAsia="zh-CN"/>
        </w:rPr>
        <w:t>身份证号码：</w:t>
      </w:r>
      <w:r>
        <w:rPr>
          <w:rFonts w:hint="eastAsia"/>
          <w:sz w:val="24"/>
          <w:szCs w:val="24"/>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系</w:t>
      </w:r>
      <w:r>
        <w:rPr>
          <w:rFonts w:hint="eastAsia"/>
          <w:sz w:val="24"/>
          <w:szCs w:val="24"/>
          <w:u w:val="single"/>
          <w:lang w:val="en-US" w:eastAsia="zh-CN"/>
        </w:rPr>
        <w:t xml:space="preserve">                                    </w:t>
      </w:r>
      <w:r>
        <w:rPr>
          <w:rFonts w:hint="eastAsia"/>
          <w:sz w:val="24"/>
          <w:szCs w:val="24"/>
          <w:lang w:val="en-US" w:eastAsia="zh-CN"/>
        </w:rPr>
        <w:t>的法定代表人。特此证明。</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sz w:val="24"/>
          <w:szCs w:val="24"/>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sz w:val="24"/>
          <w:szCs w:val="24"/>
        </w:rPr>
      </w:pPr>
      <w:r>
        <w:rPr>
          <w:rFonts w:hint="eastAsia"/>
          <w:sz w:val="24"/>
          <w:szCs w:val="24"/>
        </w:rPr>
        <w:t>（附：法定代表人身份证正反面复印件）</w:t>
      </w: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eastAsia="宋体"/>
          <w:color w:val="000000"/>
          <w:sz w:val="19"/>
          <w:lang w:val="en-US" w:eastAsia="zh-CN"/>
        </w:rPr>
      </w:pPr>
      <w:bookmarkStart w:id="248" w:name="四、法定代表人授权委托书"/>
      <w:bookmarkEnd w:id="248"/>
      <w:bookmarkStart w:id="249" w:name="_Toc21192_WPSOffice_Level1"/>
      <w:r>
        <w:rPr>
          <w:rFonts w:hint="eastAsia"/>
          <w:color w:val="000000"/>
        </w:rPr>
        <w:t>供应商（公章）：</w:t>
      </w:r>
      <w:r>
        <w:rPr>
          <w:rFonts w:hint="eastAsia"/>
          <w:color w:val="000000"/>
          <w:u w:val="single"/>
          <w:lang w:val="en-US" w:eastAsia="zh-CN"/>
        </w:rPr>
        <w:t xml:space="preserve">                      </w:t>
      </w: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right="0" w:rightChars="0"/>
        <w:textAlignment w:val="auto"/>
        <w:rPr>
          <w:color w:val="000000"/>
          <w:spacing w:val="-9"/>
        </w:rPr>
      </w:pPr>
      <w:r>
        <w:rPr>
          <w:rFonts w:hint="eastAsia"/>
          <w:color w:val="000000"/>
        </w:rPr>
        <w:t>法定代表人或委托代理人（签字或盖章</w:t>
      </w:r>
      <w:r>
        <w:rPr>
          <w:rFonts w:hint="eastAsia"/>
          <w:color w:val="000000"/>
          <w:spacing w:val="-9"/>
        </w:rPr>
        <w:t>）：</w:t>
      </w:r>
      <w:r>
        <w:rPr>
          <w:rFonts w:hint="eastAsia"/>
          <w:color w:val="000000"/>
          <w:spacing w:val="-9"/>
          <w:u w:val="single"/>
          <w:lang w:val="en-US" w:eastAsia="zh-CN"/>
        </w:rPr>
        <w:t xml:space="preserve">        </w:t>
      </w:r>
      <w:r>
        <w:rPr>
          <w:color w:val="000000"/>
          <w:spacing w:val="-9"/>
        </w:rPr>
        <w:t xml:space="preserve"> </w:t>
      </w: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eastAsia"/>
          <w:color w:val="000000"/>
          <w:u w:val="none"/>
          <w:lang w:val="en-US" w:eastAsia="zh-CN"/>
        </w:rPr>
      </w:pPr>
      <w:r>
        <w:rPr>
          <w:rFonts w:hint="eastAsia"/>
          <w:color w:val="000000"/>
        </w:rPr>
        <w:t>日期：</w:t>
      </w:r>
      <w:r>
        <w:rPr>
          <w:rFonts w:hint="eastAsia"/>
          <w:color w:val="000000"/>
          <w:u w:val="single"/>
          <w:lang w:val="en-US" w:eastAsia="zh-CN"/>
        </w:rPr>
        <w:t xml:space="preserve">        </w:t>
      </w:r>
      <w:r>
        <w:rPr>
          <w:rFonts w:hint="eastAsia"/>
          <w:color w:val="000000"/>
          <w:u w:val="none"/>
          <w:lang w:val="en-US" w:eastAsia="zh-CN"/>
        </w:rPr>
        <w:t>年</w:t>
      </w:r>
      <w:r>
        <w:rPr>
          <w:rFonts w:hint="eastAsia"/>
          <w:color w:val="000000"/>
          <w:u w:val="single"/>
          <w:lang w:val="en-US" w:eastAsia="zh-CN"/>
        </w:rPr>
        <w:t xml:space="preserve">       </w:t>
      </w:r>
      <w:r>
        <w:rPr>
          <w:rFonts w:hint="eastAsia"/>
          <w:color w:val="000000"/>
          <w:u w:val="none"/>
          <w:lang w:val="en-US" w:eastAsia="zh-CN"/>
        </w:rPr>
        <w:t>月</w:t>
      </w:r>
      <w:r>
        <w:rPr>
          <w:rFonts w:hint="eastAsia"/>
          <w:color w:val="000000"/>
          <w:u w:val="single"/>
          <w:lang w:val="en-US" w:eastAsia="zh-CN"/>
        </w:rPr>
        <w:t xml:space="preserve">        </w:t>
      </w:r>
      <w:r>
        <w:rPr>
          <w:rFonts w:hint="eastAsia"/>
          <w:color w:val="000000"/>
          <w:u w:val="none"/>
          <w:lang w:val="en-US" w:eastAsia="zh-CN"/>
        </w:rPr>
        <w:t>日</w:t>
      </w: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eastAsia"/>
          <w:color w:val="000000"/>
          <w:u w:val="none"/>
          <w:lang w:val="en-US" w:eastAsia="zh-CN"/>
        </w:rPr>
      </w:pP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eastAsia"/>
          <w:color w:val="000000"/>
          <w:u w:val="none"/>
          <w:lang w:val="en-US" w:eastAsia="zh-CN"/>
        </w:rPr>
      </w:pP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eastAsia"/>
          <w:color w:val="000000"/>
          <w:u w:val="none"/>
          <w:lang w:val="en-US" w:eastAsia="zh-CN"/>
        </w:rPr>
      </w:pP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eastAsia"/>
          <w:color w:val="000000"/>
          <w:u w:val="none"/>
          <w:lang w:val="en-US" w:eastAsia="zh-CN"/>
        </w:rPr>
      </w:pP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eastAsia"/>
          <w:color w:val="000000"/>
          <w:u w:val="none"/>
          <w:lang w:val="en-US" w:eastAsia="zh-CN"/>
        </w:rPr>
      </w:pP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default"/>
          <w:color w:val="000000"/>
          <w:u w:val="none"/>
          <w:lang w:val="en-US" w:eastAsia="zh-CN"/>
        </w:rPr>
      </w:pPr>
    </w:p>
    <w:p>
      <w:pPr>
        <w:pageBreakBefore w:val="0"/>
        <w:widowControl w:val="0"/>
        <w:kinsoku/>
        <w:wordWrap/>
        <w:overflowPunct/>
        <w:topLinePunct w:val="0"/>
        <w:bidi w:val="0"/>
        <w:spacing w:line="360" w:lineRule="auto"/>
        <w:ind w:left="0" w:leftChars="0" w:right="0" w:rightChars="0"/>
        <w:textAlignment w:val="auto"/>
        <w:rPr>
          <w:color w:val="000000"/>
        </w:rPr>
        <w:sectPr>
          <w:footerReference r:id="rId4" w:type="default"/>
          <w:pgSz w:w="11910" w:h="16840"/>
          <w:pgMar w:top="1360" w:right="280" w:bottom="1420" w:left="1160" w:header="0" w:footer="1237" w:gutter="0"/>
          <w:pgNumType w:start="33"/>
          <w:cols w:equalWidth="0" w:num="1">
            <w:col w:w="10470"/>
          </w:cols>
        </w:sectPr>
      </w:pPr>
    </w:p>
    <w:p>
      <w:pPr>
        <w:pageBreakBefore w:val="0"/>
        <w:widowControl w:val="0"/>
        <w:kinsoku/>
        <w:wordWrap/>
        <w:overflowPunct/>
        <w:topLinePunct w:val="0"/>
        <w:bidi w:val="0"/>
        <w:spacing w:line="360" w:lineRule="auto"/>
        <w:ind w:left="0" w:leftChars="0" w:right="0" w:rightChars="0"/>
        <w:jc w:val="left"/>
        <w:textAlignment w:val="auto"/>
        <w:rPr>
          <w:rFonts w:hint="eastAsia" w:ascii="宋体" w:hAnsi="宋体" w:eastAsia="宋体" w:cs="宋体"/>
          <w:b/>
          <w:color w:val="000000"/>
          <w:sz w:val="32"/>
        </w:rPr>
      </w:pPr>
    </w:p>
    <w:p>
      <w:pPr>
        <w:pageBreakBefore w:val="0"/>
        <w:widowControl w:val="0"/>
        <w:kinsoku/>
        <w:wordWrap/>
        <w:overflowPunct/>
        <w:topLinePunct w:val="0"/>
        <w:autoSpaceDE w:val="0"/>
        <w:autoSpaceDN w:val="0"/>
        <w:bidi w:val="0"/>
        <w:adjustRightInd w:val="0"/>
        <w:spacing w:line="360" w:lineRule="auto"/>
        <w:ind w:left="0" w:leftChars="0" w:right="0" w:rightChars="0"/>
        <w:jc w:val="center"/>
        <w:textAlignment w:val="auto"/>
        <w:rPr>
          <w:rFonts w:ascii="宋体" w:hAnsi="宋体" w:eastAsia="宋体" w:cs="宋体"/>
          <w:b/>
          <w:kern w:val="0"/>
          <w:sz w:val="28"/>
          <w:szCs w:val="28"/>
          <w:lang w:val="zh-CN"/>
        </w:rPr>
      </w:pPr>
      <w:r>
        <w:rPr>
          <w:rFonts w:hint="eastAsia" w:ascii="宋体" w:hAnsi="宋体" w:eastAsia="宋体" w:cs="宋体"/>
          <w:b/>
          <w:color w:val="000000"/>
          <w:sz w:val="32"/>
        </w:rPr>
        <w:t>四、</w:t>
      </w:r>
      <w:bookmarkEnd w:id="249"/>
      <w:r>
        <w:rPr>
          <w:rFonts w:hint="eastAsia" w:ascii="宋体" w:hAnsi="宋体" w:eastAsia="宋体" w:cs="宋体"/>
          <w:b/>
          <w:kern w:val="0"/>
          <w:sz w:val="32"/>
          <w:szCs w:val="32"/>
          <w:lang w:val="zh-CN"/>
        </w:rPr>
        <w:t>法定代表人授权委托书</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湖北十堰职业技术（集团）学校：</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兹授权       同志为我公司参加贵单位组织的</w:t>
      </w:r>
      <w:r>
        <w:rPr>
          <w:rFonts w:hint="eastAsia"/>
          <w:b/>
          <w:bCs/>
          <w:sz w:val="24"/>
          <w:szCs w:val="24"/>
          <w:u w:val="single"/>
          <w:lang w:val="en-US" w:eastAsia="zh-CN"/>
        </w:rPr>
        <w:t>资产管理系统购置项目</w:t>
      </w:r>
      <w:r>
        <w:rPr>
          <w:rFonts w:hint="eastAsia"/>
          <w:sz w:val="24"/>
          <w:szCs w:val="24"/>
          <w:lang w:val="en-US" w:eastAsia="zh-CN"/>
        </w:rPr>
        <w:t xml:space="preserve">竞争性磋商活动的投标代表人，全权代表我公司处理在该项目活动中的一切事宜。代理期限从     年    月    日起至     年   月   日止。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 xml:space="preserve">授权单位（公章）：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 xml:space="preserve">法定代表人（签字盖章）：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签发日期：      年    月    日</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 xml:space="preserve">附：代理人工作单位：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 xml:space="preserve">职务：                          性别：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sz w:val="24"/>
          <w:szCs w:val="24"/>
          <w:lang w:val="en-US" w:eastAsia="zh-CN"/>
        </w:rPr>
      </w:pPr>
      <w:r>
        <w:rPr>
          <w:rFonts w:hint="eastAsia"/>
          <w:sz w:val="24"/>
          <w:szCs w:val="24"/>
          <w:lang w:val="en-US" w:eastAsia="zh-CN"/>
        </w:rPr>
        <w:t xml:space="preserve">身份证号码：                                 </w:t>
      </w:r>
    </w:p>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p>
    <w:tbl>
      <w:tblPr>
        <w:tblStyle w:val="17"/>
        <w:tblW w:w="811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3" w:hRule="atLeast"/>
        </w:trPr>
        <w:tc>
          <w:tcPr>
            <w:tcW w:w="8118" w:type="dxa"/>
            <w:tcBorders>
              <w:top w:val="single" w:color="auto" w:sz="4" w:space="0"/>
              <w:left w:val="single" w:color="auto" w:sz="4" w:space="0"/>
              <w:bottom w:val="single" w:color="auto" w:sz="4" w:space="0"/>
              <w:right w:val="single" w:color="auto" w:sz="4" w:space="0"/>
            </w:tcBorders>
            <w:noWrap w:val="0"/>
            <w:vAlign w:val="center"/>
          </w:tcPr>
          <w:p>
            <w:pPr>
              <w:pStyle w:val="9"/>
              <w:pageBreakBefore w:val="0"/>
              <w:widowControl w:val="0"/>
              <w:kinsoku/>
              <w:wordWrap/>
              <w:overflowPunct/>
              <w:topLinePunct w:val="0"/>
              <w:bidi w:val="0"/>
              <w:spacing w:line="360" w:lineRule="auto"/>
              <w:ind w:left="0" w:leftChars="0" w:right="0" w:rightChars="0"/>
              <w:textAlignment w:val="auto"/>
              <w:rPr>
                <w:rFonts w:hint="eastAsia"/>
                <w:color w:val="000000"/>
              </w:rPr>
            </w:pPr>
            <w:r>
              <w:rPr>
                <w:rFonts w:hint="eastAsia"/>
                <w:color w:val="000000"/>
              </w:rPr>
              <w:t>粘贴被授权人身份证（复印件）</w:t>
            </w:r>
          </w:p>
        </w:tc>
      </w:tr>
    </w:tbl>
    <w:p>
      <w:pPr>
        <w:pageBreakBefore w:val="0"/>
        <w:widowControl w:val="0"/>
        <w:kinsoku/>
        <w:wordWrap/>
        <w:overflowPunct/>
        <w:topLinePunct w:val="0"/>
        <w:autoSpaceDE w:val="0"/>
        <w:autoSpaceDN w:val="0"/>
        <w:bidi w:val="0"/>
        <w:adjustRightInd w:val="0"/>
        <w:spacing w:line="360" w:lineRule="auto"/>
        <w:ind w:left="0" w:leftChars="0" w:right="0" w:rightChars="0" w:hanging="988"/>
        <w:jc w:val="left"/>
        <w:textAlignment w:val="auto"/>
        <w:rPr>
          <w:rFonts w:ascii="宋体" w:hAnsi="宋体" w:eastAsia="宋体" w:cs="宋体"/>
          <w:kern w:val="0"/>
          <w:sz w:val="24"/>
          <w:szCs w:val="24"/>
          <w:lang w:val="zh-CN"/>
        </w:rPr>
      </w:pPr>
    </w:p>
    <w:p>
      <w:pPr>
        <w:pStyle w:val="9"/>
        <w:pageBreakBefore w:val="0"/>
        <w:widowControl w:val="0"/>
        <w:tabs>
          <w:tab w:val="left" w:pos="5655"/>
          <w:tab w:val="left" w:pos="6615"/>
          <w:tab w:val="left" w:pos="7335"/>
          <w:tab w:val="left" w:pos="8055"/>
        </w:tabs>
        <w:kinsoku/>
        <w:wordWrap/>
        <w:overflowPunct/>
        <w:topLinePunct w:val="0"/>
        <w:bidi w:val="0"/>
        <w:spacing w:line="360" w:lineRule="auto"/>
        <w:ind w:left="0" w:leftChars="0" w:right="0" w:rightChars="0" w:hanging="3"/>
        <w:textAlignment w:val="auto"/>
        <w:rPr>
          <w:color w:val="000000"/>
        </w:rPr>
        <w:sectPr>
          <w:footerReference r:id="rId5" w:type="default"/>
          <w:type w:val="continuous"/>
          <w:pgSz w:w="11910" w:h="16840"/>
          <w:pgMar w:top="1580" w:right="280" w:bottom="280" w:left="1160" w:header="720" w:footer="720" w:gutter="0"/>
          <w:cols w:equalWidth="0" w:num="1">
            <w:col w:w="10470"/>
          </w:cols>
        </w:sectPr>
      </w:pPr>
    </w:p>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32"/>
        </w:rPr>
      </w:pPr>
      <w:bookmarkStart w:id="250" w:name="五、磋商保证金及承诺"/>
      <w:bookmarkEnd w:id="250"/>
      <w:bookmarkStart w:id="251" w:name="_Toc5374_WPSOffice_Level1"/>
      <w:r>
        <w:rPr>
          <w:rFonts w:hint="eastAsia" w:ascii="宋体" w:hAnsi="宋体" w:eastAsia="宋体" w:cs="宋体"/>
          <w:b/>
          <w:color w:val="000000"/>
          <w:sz w:val="32"/>
        </w:rPr>
        <w:t>五、技术、商务响应、偏离说明表</w:t>
      </w:r>
      <w:bookmarkEnd w:id="251"/>
    </w:p>
    <w:p>
      <w:pPr>
        <w:pageBreakBefore w:val="0"/>
        <w:widowControl w:val="0"/>
        <w:kinsoku/>
        <w:wordWrap/>
        <w:overflowPunct/>
        <w:topLinePunct w:val="0"/>
        <w:bidi w:val="0"/>
        <w:adjustRightInd w:val="0"/>
        <w:snapToGrid w:val="0"/>
        <w:spacing w:line="360" w:lineRule="auto"/>
        <w:ind w:left="0" w:leftChars="0" w:right="0" w:rightChars="0"/>
        <w:textAlignment w:val="auto"/>
        <w:outlineLvl w:val="0"/>
        <w:rPr>
          <w:rFonts w:hint="default" w:ascii="宋体" w:hAnsi="宋体" w:eastAsia="宋体" w:cs="宋体"/>
          <w:color w:val="000000"/>
          <w:sz w:val="24"/>
          <w:u w:val="single"/>
          <w:lang w:val="en-US"/>
        </w:rPr>
      </w:pPr>
      <w:r>
        <w:rPr>
          <w:rFonts w:hint="eastAsia" w:ascii="宋体" w:hAnsi="宋体" w:eastAsia="宋体" w:cs="宋体"/>
          <w:color w:val="000000"/>
          <w:sz w:val="24"/>
          <w:lang w:val="en-US" w:eastAsia="zh-CN"/>
        </w:rPr>
        <w:t>项目名称</w:t>
      </w:r>
      <w:r>
        <w:rPr>
          <w:rFonts w:hint="eastAsia" w:ascii="宋体" w:hAnsi="宋体" w:eastAsia="宋体" w:cs="宋体"/>
          <w:color w:val="000000"/>
          <w:sz w:val="24"/>
        </w:rPr>
        <w:t>：</w:t>
      </w:r>
      <w:r>
        <w:rPr>
          <w:rFonts w:hint="eastAsia" w:ascii="宋体" w:hAnsi="宋体"/>
          <w:b/>
          <w:bCs/>
          <w:color w:val="000000"/>
          <w:sz w:val="30"/>
          <w:szCs w:val="30"/>
          <w:u w:val="single"/>
        </w:rPr>
        <w:t>资产管理系统购置项目</w:t>
      </w:r>
      <w:r>
        <w:rPr>
          <w:rFonts w:hint="default" w:ascii="宋体" w:hAnsi="宋体" w:eastAsia="宋体" w:cs="宋体"/>
          <w:color w:val="000000"/>
          <w:sz w:val="24"/>
          <w:u w:val="single"/>
          <w:lang w:val="en-US"/>
        </w:rPr>
        <w:t xml:space="preserve">  </w:t>
      </w:r>
    </w:p>
    <w:p>
      <w:pPr>
        <w:pageBreakBefore w:val="0"/>
        <w:widowControl w:val="0"/>
        <w:kinsoku/>
        <w:wordWrap/>
        <w:overflowPunct/>
        <w:topLinePunct w:val="0"/>
        <w:bidi w:val="0"/>
        <w:adjustRightInd w:val="0"/>
        <w:snapToGrid w:val="0"/>
        <w:spacing w:line="360" w:lineRule="auto"/>
        <w:ind w:left="0" w:leftChars="0" w:right="0" w:rightChars="0"/>
        <w:textAlignment w:val="auto"/>
        <w:outlineLvl w:val="0"/>
        <w:rPr>
          <w:rFonts w:hint="default" w:ascii="宋体" w:hAnsi="宋体" w:eastAsia="宋体" w:cs="宋体"/>
          <w:color w:val="000000"/>
          <w:sz w:val="24"/>
          <w:lang w:val="en-US" w:eastAsia="zh-CN"/>
        </w:rPr>
      </w:pPr>
      <w:r>
        <w:rPr>
          <w:rFonts w:hint="eastAsia" w:ascii="宋体" w:hAnsi="宋体" w:eastAsia="宋体" w:cs="宋体"/>
          <w:color w:val="000000"/>
          <w:spacing w:val="28"/>
          <w:sz w:val="24"/>
          <w:lang w:val="en-US" w:eastAsia="zh-CN"/>
        </w:rPr>
        <w:t>供应商名称</w:t>
      </w:r>
      <w:r>
        <w:rPr>
          <w:rFonts w:ascii="宋体" w:hAnsi="宋体" w:eastAsia="宋体" w:cs="宋体"/>
          <w:color w:val="000000"/>
          <w:sz w:val="24"/>
        </w:rPr>
        <w:t>:</w:t>
      </w:r>
      <w:r>
        <w:rPr>
          <w:rFonts w:hint="eastAsia" w:ascii="宋体" w:hAnsi="宋体" w:eastAsia="宋体" w:cs="宋体"/>
          <w:color w:val="000000"/>
          <w:sz w:val="24"/>
          <w:u w:val="single"/>
          <w:lang w:val="en-US" w:eastAsia="zh-CN"/>
        </w:rPr>
        <w:t xml:space="preserve">                            </w:t>
      </w:r>
    </w:p>
    <w:tbl>
      <w:tblPr>
        <w:tblStyle w:val="17"/>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331"/>
        <w:gridCol w:w="2915"/>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57"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hint="eastAsia" w:ascii="宋体" w:hAnsi="宋体" w:eastAsia="宋体" w:cs="宋体"/>
                <w:color w:val="000000"/>
                <w:sz w:val="24"/>
              </w:rPr>
              <w:t>序号</w:t>
            </w:r>
          </w:p>
        </w:tc>
        <w:tc>
          <w:tcPr>
            <w:tcW w:w="333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hint="eastAsia" w:ascii="宋体" w:hAnsi="宋体" w:eastAsia="宋体" w:cs="宋体"/>
                <w:color w:val="000000"/>
                <w:sz w:val="24"/>
              </w:rPr>
              <w:t>竞争性磋商要求部分</w:t>
            </w:r>
          </w:p>
        </w:tc>
        <w:tc>
          <w:tcPr>
            <w:tcW w:w="2915"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hint="eastAsia" w:ascii="宋体" w:hAnsi="宋体" w:eastAsia="宋体" w:cs="宋体"/>
                <w:color w:val="000000"/>
                <w:sz w:val="24"/>
              </w:rPr>
              <w:t>供应商响应部分</w:t>
            </w:r>
          </w:p>
        </w:tc>
        <w:tc>
          <w:tcPr>
            <w:tcW w:w="265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hint="eastAsia" w:ascii="宋体" w:hAnsi="宋体" w:eastAsia="宋体" w:cs="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57"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ascii="宋体" w:hAnsi="宋体" w:eastAsia="宋体" w:cs="宋体"/>
                <w:color w:val="000000"/>
                <w:sz w:val="24"/>
              </w:rPr>
              <w:t>1</w:t>
            </w:r>
          </w:p>
        </w:tc>
        <w:tc>
          <w:tcPr>
            <w:tcW w:w="333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p>
        </w:tc>
        <w:tc>
          <w:tcPr>
            <w:tcW w:w="2915"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c>
          <w:tcPr>
            <w:tcW w:w="265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57"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ascii="宋体" w:hAnsi="宋体" w:eastAsia="宋体" w:cs="宋体"/>
                <w:color w:val="000000"/>
                <w:sz w:val="24"/>
              </w:rPr>
              <w:t>2</w:t>
            </w:r>
          </w:p>
        </w:tc>
        <w:tc>
          <w:tcPr>
            <w:tcW w:w="333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p>
        </w:tc>
        <w:tc>
          <w:tcPr>
            <w:tcW w:w="2915"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c>
          <w:tcPr>
            <w:tcW w:w="265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57"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ascii="宋体" w:hAnsi="宋体" w:eastAsia="宋体" w:cs="宋体"/>
                <w:color w:val="000000"/>
                <w:sz w:val="24"/>
              </w:rPr>
              <w:t>3</w:t>
            </w:r>
          </w:p>
        </w:tc>
        <w:tc>
          <w:tcPr>
            <w:tcW w:w="333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p>
        </w:tc>
        <w:tc>
          <w:tcPr>
            <w:tcW w:w="2915"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c>
          <w:tcPr>
            <w:tcW w:w="265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57"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ascii="宋体" w:hAnsi="宋体" w:eastAsia="宋体" w:cs="宋体"/>
                <w:color w:val="000000"/>
                <w:sz w:val="24"/>
              </w:rPr>
              <w:t>4</w:t>
            </w:r>
          </w:p>
        </w:tc>
        <w:tc>
          <w:tcPr>
            <w:tcW w:w="333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p>
        </w:tc>
        <w:tc>
          <w:tcPr>
            <w:tcW w:w="2915"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c>
          <w:tcPr>
            <w:tcW w:w="265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57"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ascii="宋体" w:hAnsi="宋体" w:eastAsia="宋体" w:cs="宋体"/>
                <w:color w:val="000000"/>
                <w:sz w:val="24"/>
              </w:rPr>
              <w:t>5</w:t>
            </w:r>
          </w:p>
        </w:tc>
        <w:tc>
          <w:tcPr>
            <w:tcW w:w="333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p>
        </w:tc>
        <w:tc>
          <w:tcPr>
            <w:tcW w:w="2915"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c>
          <w:tcPr>
            <w:tcW w:w="265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57"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ascii="宋体" w:hAnsi="宋体" w:eastAsia="宋体" w:cs="宋体"/>
                <w:color w:val="000000"/>
                <w:sz w:val="24"/>
              </w:rPr>
              <w:t>6</w:t>
            </w:r>
          </w:p>
        </w:tc>
        <w:tc>
          <w:tcPr>
            <w:tcW w:w="333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p>
        </w:tc>
        <w:tc>
          <w:tcPr>
            <w:tcW w:w="2915"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c>
          <w:tcPr>
            <w:tcW w:w="265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57"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r>
              <w:rPr>
                <w:rFonts w:hint="eastAsia" w:ascii="宋体" w:hAnsi="宋体" w:eastAsia="宋体" w:cs="宋体"/>
                <w:color w:val="000000"/>
                <w:sz w:val="24"/>
              </w:rPr>
              <w:t>…</w:t>
            </w:r>
          </w:p>
        </w:tc>
        <w:tc>
          <w:tcPr>
            <w:tcW w:w="333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rPr>
            </w:pPr>
          </w:p>
        </w:tc>
        <w:tc>
          <w:tcPr>
            <w:tcW w:w="2915"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c>
          <w:tcPr>
            <w:tcW w:w="2651" w:type="dxa"/>
            <w:vAlign w:val="center"/>
          </w:tcPr>
          <w:p>
            <w:pPr>
              <w:pageBreakBefore w:val="0"/>
              <w:widowControl w:val="0"/>
              <w:kinsoku/>
              <w:wordWrap/>
              <w:overflowPunct/>
              <w:topLinePunct w:val="0"/>
              <w:bidi w:val="0"/>
              <w:spacing w:line="360" w:lineRule="auto"/>
              <w:ind w:left="0" w:leftChars="0" w:right="0" w:rightChars="0"/>
              <w:jc w:val="center"/>
              <w:textAlignment w:val="auto"/>
              <w:rPr>
                <w:rFonts w:ascii="宋体" w:hAnsi="宋体" w:eastAsia="宋体" w:cs="宋体"/>
                <w:b/>
                <w:color w:val="000000"/>
                <w:sz w:val="24"/>
              </w:rPr>
            </w:pPr>
          </w:p>
        </w:tc>
      </w:tr>
    </w:tbl>
    <w:p>
      <w:pPr>
        <w:pageBreakBefore w:val="0"/>
        <w:widowControl w:val="0"/>
        <w:kinsoku/>
        <w:wordWrap/>
        <w:overflowPunct/>
        <w:topLinePunct w:val="0"/>
        <w:bidi w:val="0"/>
        <w:adjustRightInd w:val="0"/>
        <w:snapToGrid w:val="0"/>
        <w:spacing w:line="360" w:lineRule="auto"/>
        <w:ind w:left="0" w:leftChars="0" w:right="0" w:rightChars="0"/>
        <w:textAlignment w:val="auto"/>
        <w:rPr>
          <w:rFonts w:ascii="宋体" w:hAnsi="宋体" w:eastAsia="宋体" w:cs="宋体"/>
          <w:color w:val="000000"/>
          <w:sz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ascii="宋体" w:hAnsi="宋体" w:eastAsia="宋体" w:cs="宋体"/>
          <w:color w:val="000000"/>
          <w:sz w:val="24"/>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color w:val="000000"/>
          <w:sz w:val="19"/>
          <w:u w:val="single"/>
          <w:lang w:val="en-US" w:eastAsia="zh-CN"/>
        </w:rPr>
      </w:pPr>
      <w:r>
        <w:rPr>
          <w:rFonts w:hint="eastAsia"/>
          <w:color w:val="000000"/>
        </w:rPr>
        <w:t>供应商（公章）：</w:t>
      </w:r>
      <w:r>
        <w:rPr>
          <w:rFonts w:hint="eastAsia"/>
          <w:color w:val="000000"/>
          <w:sz w:val="19"/>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color w:val="000000"/>
          <w:spacing w:val="-9"/>
          <w:u w:val="single"/>
          <w:lang w:val="en-US" w:eastAsia="zh-CN"/>
        </w:rPr>
      </w:pPr>
      <w:r>
        <w:rPr>
          <w:rFonts w:hint="eastAsia"/>
          <w:color w:val="000000"/>
        </w:rPr>
        <w:t>法定代表人或委托代理人（签字或盖章</w:t>
      </w:r>
      <w:r>
        <w:rPr>
          <w:rFonts w:hint="eastAsia"/>
          <w:color w:val="000000"/>
          <w:spacing w:val="-9"/>
        </w:rPr>
        <w:t>）：</w:t>
      </w:r>
      <w:r>
        <w:rPr>
          <w:rFonts w:hint="eastAsia"/>
          <w:color w:val="000000"/>
          <w:spacing w:val="-9"/>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eastAsia="宋体"/>
          <w:color w:val="000000"/>
          <w:u w:val="single"/>
          <w:lang w:val="en-US" w:eastAsia="zh-CN"/>
        </w:rPr>
      </w:pPr>
      <w:r>
        <w:rPr>
          <w:rFonts w:hint="eastAsia"/>
          <w:color w:val="000000"/>
        </w:rPr>
        <w:t>日</w:t>
      </w:r>
      <w:r>
        <w:rPr>
          <w:rFonts w:hint="eastAsia"/>
          <w:color w:val="000000"/>
          <w:lang w:val="en-US" w:eastAsia="zh-CN"/>
        </w:rPr>
        <w:t xml:space="preserve">        </w:t>
      </w:r>
      <w:r>
        <w:rPr>
          <w:rFonts w:hint="eastAsia"/>
          <w:color w:val="000000"/>
        </w:rPr>
        <w:t>期：</w:t>
      </w:r>
      <w:r>
        <w:rPr>
          <w:rFonts w:hint="eastAsia"/>
          <w:color w:val="000000"/>
          <w:u w:val="single"/>
          <w:lang w:val="en-US" w:eastAsia="zh-CN"/>
        </w:rPr>
        <w:t xml:space="preserve">          </w:t>
      </w:r>
      <w:r>
        <w:rPr>
          <w:rFonts w:hint="eastAsia"/>
          <w:color w:val="000000"/>
          <w:u w:val="none"/>
          <w:lang w:val="en-US" w:eastAsia="zh-CN"/>
        </w:rPr>
        <w:t>年</w:t>
      </w:r>
      <w:r>
        <w:rPr>
          <w:rFonts w:hint="eastAsia"/>
          <w:color w:val="000000"/>
          <w:u w:val="single"/>
          <w:lang w:val="en-US" w:eastAsia="zh-CN"/>
        </w:rPr>
        <w:t xml:space="preserve">        </w:t>
      </w:r>
      <w:r>
        <w:rPr>
          <w:rFonts w:hint="eastAsia"/>
          <w:color w:val="000000"/>
          <w:u w:val="none"/>
          <w:lang w:val="en-US" w:eastAsia="zh-CN"/>
        </w:rPr>
        <w:t>月</w:t>
      </w:r>
      <w:r>
        <w:rPr>
          <w:rFonts w:hint="eastAsia"/>
          <w:color w:val="000000"/>
          <w:u w:val="single"/>
          <w:lang w:val="en-US" w:eastAsia="zh-CN"/>
        </w:rPr>
        <w:t xml:space="preserve">         </w:t>
      </w:r>
      <w:r>
        <w:rPr>
          <w:rFonts w:hint="eastAsia"/>
          <w:color w:val="000000"/>
          <w:u w:val="none"/>
          <w:lang w:val="en-US" w:eastAsia="zh-CN"/>
        </w:rPr>
        <w:t>日</w:t>
      </w:r>
    </w:p>
    <w:p>
      <w:pPr>
        <w:pStyle w:val="23"/>
        <w:pageBreakBefore w:val="0"/>
        <w:widowControl w:val="0"/>
        <w:kinsoku/>
        <w:wordWrap/>
        <w:overflowPunct/>
        <w:topLinePunct w:val="0"/>
        <w:bidi w:val="0"/>
        <w:spacing w:line="360" w:lineRule="auto"/>
        <w:ind w:left="0" w:leftChars="0" w:right="0" w:rightChars="0" w:firstLine="31680"/>
        <w:jc w:val="center"/>
        <w:textAlignment w:val="auto"/>
        <w:rPr>
          <w:rFonts w:ascii="宋体" w:hAnsi="宋体" w:eastAsia="宋体" w:cs="宋体"/>
          <w:color w:val="000000"/>
          <w:szCs w:val="24"/>
        </w:rPr>
      </w:pPr>
    </w:p>
    <w:p>
      <w:pPr>
        <w:pageBreakBefore w:val="0"/>
        <w:widowControl w:val="0"/>
        <w:kinsoku/>
        <w:wordWrap/>
        <w:overflowPunct/>
        <w:topLinePunct w:val="0"/>
        <w:bidi w:val="0"/>
        <w:spacing w:line="360" w:lineRule="auto"/>
        <w:ind w:left="0" w:leftChars="0" w:right="0" w:rightChars="0"/>
        <w:textAlignment w:val="auto"/>
        <w:rPr>
          <w:rFonts w:ascii="宋体" w:hAnsi="宋体" w:eastAsia="宋体" w:cs="宋体"/>
          <w:color w:val="000000"/>
          <w:sz w:val="24"/>
          <w:szCs w:val="24"/>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bookmarkStart w:id="252" w:name="_Toc8156_WPSOffice_Level2"/>
      <w:bookmarkStart w:id="253" w:name="_Toc22059_WPSOffice_Level1"/>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ageBreakBefore w:val="0"/>
        <w:widowControl w:val="0"/>
        <w:numPr>
          <w:ilvl w:val="0"/>
          <w:numId w:val="0"/>
        </w:numPr>
        <w:kinsoku/>
        <w:wordWrap/>
        <w:overflowPunct/>
        <w:topLinePunct w:val="0"/>
        <w:bidi w:val="0"/>
        <w:spacing w:line="360" w:lineRule="auto"/>
        <w:ind w:left="0" w:leftChars="0" w:right="0" w:rightChars="0"/>
        <w:jc w:val="center"/>
        <w:textAlignment w:val="auto"/>
        <w:rPr>
          <w:rFonts w:hint="eastAsia" w:ascii="宋体" w:hAnsi="宋体" w:eastAsia="宋体" w:cs="宋体"/>
          <w:b/>
          <w:color w:val="000000"/>
          <w:sz w:val="32"/>
        </w:rPr>
      </w:pPr>
    </w:p>
    <w:p>
      <w:pPr>
        <w:pStyle w:val="2"/>
        <w:rPr>
          <w:rFonts w:hint="eastAsia" w:ascii="宋体" w:hAnsi="宋体" w:eastAsia="宋体" w:cs="宋体"/>
          <w:b/>
          <w:color w:val="000000"/>
          <w:sz w:val="32"/>
        </w:rPr>
      </w:pPr>
    </w:p>
    <w:p>
      <w:pPr>
        <w:pStyle w:val="2"/>
        <w:rPr>
          <w:rFonts w:hint="eastAsia" w:ascii="宋体" w:hAnsi="宋体" w:eastAsia="宋体" w:cs="宋体"/>
          <w:b/>
          <w:color w:val="000000"/>
          <w:sz w:val="32"/>
        </w:rPr>
      </w:pPr>
    </w:p>
    <w:p>
      <w:pPr>
        <w:pStyle w:val="2"/>
        <w:pageBreakBefore w:val="0"/>
        <w:widowControl w:val="0"/>
        <w:kinsoku/>
        <w:wordWrap/>
        <w:overflowPunct/>
        <w:topLinePunct w:val="0"/>
        <w:bidi w:val="0"/>
        <w:spacing w:line="360" w:lineRule="auto"/>
        <w:ind w:left="0" w:leftChars="0" w:right="0" w:rightChars="0"/>
        <w:textAlignment w:val="auto"/>
        <w:rPr>
          <w:rFonts w:hint="eastAsia"/>
        </w:rPr>
      </w:pPr>
    </w:p>
    <w:p>
      <w:pPr>
        <w:pageBreakBefore w:val="0"/>
        <w:widowControl w:val="0"/>
        <w:numPr>
          <w:ilvl w:val="0"/>
          <w:numId w:val="0"/>
        </w:numPr>
        <w:kinsoku/>
        <w:wordWrap/>
        <w:overflowPunct/>
        <w:topLinePunct w:val="0"/>
        <w:bidi w:val="0"/>
        <w:spacing w:line="360" w:lineRule="auto"/>
        <w:ind w:left="0" w:leftChars="0" w:right="0" w:rightChars="0"/>
        <w:jc w:val="center"/>
        <w:textAlignment w:val="auto"/>
        <w:rPr>
          <w:rFonts w:hint="eastAsia" w:hAnsi="宋体"/>
          <w:b/>
          <w:sz w:val="28"/>
          <w:lang w:val="zh-CN"/>
        </w:rPr>
      </w:pPr>
      <w:r>
        <w:rPr>
          <w:rFonts w:hint="eastAsia" w:ascii="宋体" w:hAnsi="宋体" w:eastAsia="宋体" w:cs="宋体"/>
          <w:b/>
          <w:color w:val="000000"/>
          <w:sz w:val="32"/>
        </w:rPr>
        <w:t>六</w:t>
      </w:r>
      <w:r>
        <w:rPr>
          <w:rFonts w:hint="eastAsia" w:ascii="宋体" w:hAnsi="宋体" w:eastAsia="宋体" w:cs="宋体"/>
          <w:b/>
          <w:color w:val="000000"/>
          <w:sz w:val="36"/>
          <w:szCs w:val="24"/>
        </w:rPr>
        <w:t>、</w:t>
      </w:r>
      <w:bookmarkEnd w:id="252"/>
      <w:bookmarkEnd w:id="253"/>
      <w:r>
        <w:rPr>
          <w:rFonts w:hint="eastAsia" w:hAnsi="宋体"/>
          <w:b/>
          <w:sz w:val="32"/>
          <w:szCs w:val="24"/>
          <w:lang w:val="zh-CN"/>
        </w:rPr>
        <w:t>报价一览表（最终）</w:t>
      </w:r>
    </w:p>
    <w:p>
      <w:pPr>
        <w:pStyle w:val="9"/>
        <w:pageBreakBefore w:val="0"/>
        <w:widowControl w:val="0"/>
        <w:kinsoku/>
        <w:wordWrap/>
        <w:overflowPunct/>
        <w:topLinePunct w:val="0"/>
        <w:bidi w:val="0"/>
        <w:spacing w:line="360" w:lineRule="auto"/>
        <w:ind w:left="0" w:leftChars="0" w:right="0" w:rightChars="0"/>
        <w:textAlignment w:val="auto"/>
        <w:rPr>
          <w:b/>
          <w:color w:val="000000"/>
          <w:sz w:val="19"/>
        </w:rPr>
      </w:pPr>
    </w:p>
    <w:p>
      <w:pPr>
        <w:pageBreakBefore w:val="0"/>
        <w:widowControl w:val="0"/>
        <w:kinsoku/>
        <w:wordWrap/>
        <w:overflowPunct/>
        <w:topLinePunct w:val="0"/>
        <w:autoSpaceDE w:val="0"/>
        <w:autoSpaceDN w:val="0"/>
        <w:bidi w:val="0"/>
        <w:adjustRightInd w:val="0"/>
        <w:spacing w:line="360" w:lineRule="auto"/>
        <w:ind w:left="0" w:leftChars="0" w:right="0" w:rightChars="0" w:firstLine="720" w:firstLineChars="300"/>
        <w:textAlignment w:val="auto"/>
        <w:rPr>
          <w:rFonts w:hint="eastAsia"/>
          <w:color w:val="000000"/>
          <w:u w:val="none"/>
          <w:lang w:val="en-US" w:eastAsia="zh-CN"/>
        </w:rPr>
      </w:pPr>
      <w:r>
        <w:rPr>
          <w:rFonts w:hint="eastAsia" w:ascii="宋体" w:hAnsi="宋体" w:eastAsia="宋体" w:cs="宋体"/>
          <w:color w:val="000000"/>
          <w:kern w:val="2"/>
          <w:sz w:val="24"/>
          <w:szCs w:val="24"/>
          <w:lang w:val="zh-CN" w:eastAsia="zh-CN" w:bidi="ar-SA"/>
        </w:rPr>
        <w:t>项目</w:t>
      </w:r>
      <w:r>
        <w:rPr>
          <w:rFonts w:hint="eastAsia" w:ascii="宋体" w:hAnsi="宋体" w:eastAsia="宋体" w:cs="宋体"/>
          <w:color w:val="000000"/>
          <w:kern w:val="2"/>
          <w:sz w:val="24"/>
          <w:szCs w:val="24"/>
          <w:lang w:val="en-US" w:eastAsia="zh-CN" w:bidi="ar-SA"/>
        </w:rPr>
        <w:t>名称</w:t>
      </w:r>
      <w:r>
        <w:rPr>
          <w:rFonts w:hint="eastAsia" w:ascii="宋体" w:hAnsi="宋体" w:eastAsia="宋体" w:cs="宋体"/>
          <w:color w:val="000000"/>
          <w:kern w:val="2"/>
          <w:sz w:val="24"/>
          <w:szCs w:val="24"/>
          <w:lang w:val="zh-CN" w:eastAsia="zh-CN" w:bidi="ar-SA"/>
        </w:rPr>
        <w:t>：</w:t>
      </w:r>
      <w:r>
        <w:rPr>
          <w:rFonts w:hint="eastAsia" w:ascii="宋体" w:hAnsi="宋体"/>
          <w:b/>
          <w:bCs/>
          <w:color w:val="000000"/>
          <w:sz w:val="30"/>
          <w:szCs w:val="30"/>
          <w:u w:val="single"/>
        </w:rPr>
        <w:t>资产管理系统购置项目</w:t>
      </w:r>
      <w:r>
        <w:rPr>
          <w:rFonts w:hint="eastAsia"/>
          <w:color w:val="000000"/>
          <w:u w:val="single"/>
          <w:lang w:val="en-US" w:eastAsia="zh-CN"/>
        </w:rPr>
        <w:t xml:space="preserve">               </w:t>
      </w:r>
      <w:r>
        <w:rPr>
          <w:rFonts w:hint="eastAsia"/>
          <w:color w:val="000000"/>
          <w:u w:val="none"/>
          <w:lang w:val="en-US" w:eastAsia="zh-CN"/>
        </w:rPr>
        <w:t xml:space="preserve">     </w:t>
      </w:r>
    </w:p>
    <w:p>
      <w:pPr>
        <w:pageBreakBefore w:val="0"/>
        <w:widowControl w:val="0"/>
        <w:kinsoku/>
        <w:wordWrap/>
        <w:overflowPunct/>
        <w:topLinePunct w:val="0"/>
        <w:autoSpaceDE w:val="0"/>
        <w:autoSpaceDN w:val="0"/>
        <w:bidi w:val="0"/>
        <w:adjustRightInd w:val="0"/>
        <w:spacing w:line="360" w:lineRule="auto"/>
        <w:ind w:left="0" w:leftChars="0" w:right="0" w:rightChars="0" w:firstLine="300" w:firstLineChars="300"/>
        <w:textAlignment w:val="auto"/>
        <w:rPr>
          <w:rFonts w:hint="default" w:eastAsia="宋体"/>
          <w:color w:val="000000"/>
          <w:u w:val="single"/>
          <w:lang w:val="en-US" w:eastAsia="zh-CN"/>
        </w:rPr>
      </w:pPr>
      <w:r>
        <w:rPr>
          <w:rFonts w:hint="eastAsia"/>
          <w:color w:val="000000"/>
          <w:u w:val="none"/>
          <w:lang w:val="en-US" w:eastAsia="zh-CN"/>
        </w:rPr>
        <w:t xml:space="preserve">       </w:t>
      </w:r>
      <w:r>
        <w:rPr>
          <w:rFonts w:hint="eastAsia" w:ascii="宋体" w:hAnsi="宋体" w:eastAsia="宋体" w:cs="宋体"/>
          <w:color w:val="000000"/>
          <w:kern w:val="2"/>
          <w:sz w:val="24"/>
          <w:szCs w:val="24"/>
          <w:lang w:val="en-US" w:eastAsia="zh-CN" w:bidi="ar-SA"/>
        </w:rPr>
        <w:t>供应商名称：</w:t>
      </w:r>
      <w:r>
        <w:rPr>
          <w:rFonts w:hint="eastAsia"/>
          <w:color w:val="000000"/>
          <w:u w:val="single"/>
          <w:lang w:val="en-US" w:eastAsia="zh-CN"/>
        </w:rPr>
        <w:t xml:space="preserve">                                                                                       </w:t>
      </w:r>
      <w:r>
        <w:rPr>
          <w:rFonts w:hint="eastAsia"/>
          <w:color w:val="000000"/>
          <w:u w:val="none"/>
          <w:lang w:val="en-US" w:eastAsia="zh-CN"/>
        </w:rPr>
        <w:t xml:space="preserve">                  </w:t>
      </w:r>
    </w:p>
    <w:tbl>
      <w:tblPr>
        <w:tblStyle w:val="17"/>
        <w:tblW w:w="9390"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1" w:hRule="atLeast"/>
        </w:trPr>
        <w:tc>
          <w:tcPr>
            <w:tcW w:w="1831"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color w:val="000000"/>
                <w:sz w:val="17"/>
              </w:rPr>
            </w:pPr>
          </w:p>
          <w:p>
            <w:pPr>
              <w:pStyle w:val="35"/>
              <w:pageBreakBefore w:val="0"/>
              <w:widowControl w:val="0"/>
              <w:tabs>
                <w:tab w:val="left" w:pos="607"/>
              </w:tabs>
              <w:kinsoku/>
              <w:wordWrap/>
              <w:overflowPunct/>
              <w:topLinePunct w:val="0"/>
              <w:bidi w:val="0"/>
              <w:spacing w:line="360" w:lineRule="auto"/>
              <w:ind w:left="0" w:leftChars="0" w:right="0" w:rightChars="0"/>
              <w:jc w:val="center"/>
              <w:textAlignment w:val="auto"/>
              <w:rPr>
                <w:color w:val="000000"/>
                <w:sz w:val="24"/>
              </w:rPr>
            </w:pPr>
            <w:r>
              <w:rPr>
                <w:rFonts w:hint="eastAsia"/>
                <w:color w:val="000000"/>
                <w:sz w:val="24"/>
              </w:rPr>
              <w:t>项</w:t>
            </w:r>
            <w:r>
              <w:rPr>
                <w:color w:val="000000"/>
                <w:sz w:val="24"/>
              </w:rPr>
              <w:tab/>
            </w:r>
            <w:r>
              <w:rPr>
                <w:rFonts w:hint="eastAsia"/>
                <w:color w:val="000000"/>
                <w:sz w:val="24"/>
              </w:rPr>
              <w:t>目</w:t>
            </w:r>
          </w:p>
        </w:tc>
        <w:tc>
          <w:tcPr>
            <w:tcW w:w="7559"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color w:val="000000"/>
                <w:sz w:val="17"/>
              </w:rPr>
            </w:pPr>
          </w:p>
          <w:p>
            <w:pPr>
              <w:pStyle w:val="35"/>
              <w:pageBreakBefore w:val="0"/>
              <w:widowControl w:val="0"/>
              <w:tabs>
                <w:tab w:val="left" w:pos="1810"/>
              </w:tabs>
              <w:kinsoku/>
              <w:wordWrap/>
              <w:overflowPunct/>
              <w:topLinePunct w:val="0"/>
              <w:bidi w:val="0"/>
              <w:spacing w:line="360" w:lineRule="auto"/>
              <w:ind w:left="0" w:leftChars="0" w:right="0" w:rightChars="0"/>
              <w:jc w:val="center"/>
              <w:textAlignment w:val="auto"/>
              <w:rPr>
                <w:color w:val="000000"/>
                <w:sz w:val="24"/>
              </w:rPr>
            </w:pPr>
            <w:r>
              <w:rPr>
                <w:rFonts w:hint="eastAsia"/>
                <w:color w:val="000000"/>
                <w:sz w:val="24"/>
              </w:rPr>
              <w:t>内</w:t>
            </w:r>
            <w:r>
              <w:rPr>
                <w:color w:val="000000"/>
                <w:sz w:val="24"/>
              </w:rPr>
              <w:tab/>
            </w:r>
            <w:r>
              <w:rPr>
                <w:rFonts w:hint="eastAsia"/>
                <w:color w:val="000000"/>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831" w:type="dxa"/>
            <w:vMerge w:val="restart"/>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ascii="新宋体" w:eastAsia="新宋体"/>
                <w:color w:val="000000"/>
                <w:sz w:val="24"/>
              </w:rPr>
            </w:pPr>
            <w:r>
              <w:rPr>
                <w:rFonts w:hint="eastAsia" w:ascii="新宋体" w:eastAsia="新宋体"/>
                <w:color w:val="000000"/>
                <w:sz w:val="24"/>
              </w:rPr>
              <w:t>投标报价</w:t>
            </w:r>
          </w:p>
        </w:tc>
        <w:tc>
          <w:tcPr>
            <w:tcW w:w="7559" w:type="dxa"/>
            <w:vAlign w:val="center"/>
          </w:tcPr>
          <w:p>
            <w:pPr>
              <w:pStyle w:val="35"/>
              <w:pageBreakBefore w:val="0"/>
              <w:widowControl w:val="0"/>
              <w:kinsoku/>
              <w:wordWrap/>
              <w:overflowPunct/>
              <w:topLinePunct w:val="0"/>
              <w:bidi w:val="0"/>
              <w:spacing w:line="360" w:lineRule="auto"/>
              <w:ind w:left="0" w:leftChars="0" w:right="0" w:rightChars="0"/>
              <w:jc w:val="left"/>
              <w:textAlignment w:val="auto"/>
              <w:rPr>
                <w:rFonts w:hint="eastAsia" w:ascii="新宋体" w:eastAsia="新宋体"/>
                <w:color w:val="000000"/>
                <w:sz w:val="24"/>
                <w:lang w:val="en-US" w:eastAsia="zh-CN"/>
              </w:rPr>
            </w:pPr>
            <w:r>
              <w:rPr>
                <w:rFonts w:hint="eastAsia" w:ascii="新宋体" w:eastAsia="新宋体"/>
                <w:color w:val="000000"/>
                <w:sz w:val="24"/>
                <w:lang w:val="en-US" w:eastAsia="zh-CN"/>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831" w:type="dxa"/>
            <w:vMerge w:val="continue"/>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hint="eastAsia" w:ascii="新宋体" w:eastAsia="新宋体"/>
                <w:color w:val="000000"/>
                <w:sz w:val="24"/>
              </w:rPr>
            </w:pPr>
          </w:p>
        </w:tc>
        <w:tc>
          <w:tcPr>
            <w:tcW w:w="7559" w:type="dxa"/>
            <w:vAlign w:val="center"/>
          </w:tcPr>
          <w:p>
            <w:pPr>
              <w:pStyle w:val="35"/>
              <w:pageBreakBefore w:val="0"/>
              <w:widowControl w:val="0"/>
              <w:kinsoku/>
              <w:wordWrap/>
              <w:overflowPunct/>
              <w:topLinePunct w:val="0"/>
              <w:bidi w:val="0"/>
              <w:spacing w:line="360" w:lineRule="auto"/>
              <w:ind w:left="0" w:leftChars="0" w:right="0" w:rightChars="0"/>
              <w:jc w:val="left"/>
              <w:textAlignment w:val="auto"/>
              <w:rPr>
                <w:rFonts w:hint="eastAsia" w:ascii="新宋体" w:eastAsia="新宋体"/>
                <w:color w:val="000000"/>
                <w:sz w:val="24"/>
                <w:lang w:val="en-US" w:eastAsia="zh-CN"/>
              </w:rPr>
            </w:pPr>
            <w:r>
              <w:rPr>
                <w:rFonts w:hint="eastAsia" w:ascii="新宋体" w:eastAsia="新宋体"/>
                <w:color w:val="000000"/>
                <w:sz w:val="24"/>
                <w:lang w:val="en-US"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831"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hint="eastAsia" w:ascii="新宋体" w:eastAsia="新宋体"/>
                <w:color w:val="000000"/>
                <w:sz w:val="24"/>
                <w:lang w:eastAsia="zh-CN"/>
              </w:rPr>
            </w:pPr>
            <w:r>
              <w:rPr>
                <w:rFonts w:hint="eastAsia" w:ascii="新宋体" w:eastAsia="新宋体"/>
                <w:color w:val="000000"/>
                <w:sz w:val="24"/>
                <w:lang w:val="en-US" w:eastAsia="zh-CN"/>
              </w:rPr>
              <w:t>交付使用期</w:t>
            </w:r>
          </w:p>
        </w:tc>
        <w:tc>
          <w:tcPr>
            <w:tcW w:w="7559"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ascii="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1831"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ascii="新宋体" w:eastAsia="新宋体"/>
                <w:color w:val="000000"/>
                <w:sz w:val="24"/>
              </w:rPr>
            </w:pPr>
            <w:r>
              <w:rPr>
                <w:rFonts w:hint="eastAsia" w:ascii="新宋体" w:eastAsia="新宋体"/>
                <w:color w:val="000000"/>
                <w:sz w:val="24"/>
              </w:rPr>
              <w:t>备注</w:t>
            </w:r>
          </w:p>
        </w:tc>
        <w:tc>
          <w:tcPr>
            <w:tcW w:w="7559" w:type="dxa"/>
            <w:vAlign w:val="center"/>
          </w:tcPr>
          <w:p>
            <w:pPr>
              <w:pStyle w:val="35"/>
              <w:pageBreakBefore w:val="0"/>
              <w:widowControl w:val="0"/>
              <w:kinsoku/>
              <w:wordWrap/>
              <w:overflowPunct/>
              <w:topLinePunct w:val="0"/>
              <w:bidi w:val="0"/>
              <w:spacing w:line="360" w:lineRule="auto"/>
              <w:ind w:left="0" w:leftChars="0" w:right="0" w:rightChars="0"/>
              <w:jc w:val="center"/>
              <w:textAlignment w:val="auto"/>
              <w:rPr>
                <w:rFonts w:ascii="Times New Roman"/>
                <w:color w:val="000000"/>
                <w:sz w:val="24"/>
              </w:rPr>
            </w:pPr>
          </w:p>
        </w:tc>
      </w:tr>
    </w:tbl>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r>
        <w:rPr>
          <w:rFonts w:hint="eastAsia"/>
          <w:color w:val="000000"/>
        </w:rPr>
        <w:t>使用说明：供应商在参与磋商报价时须携带公章或将第二轮空白报价单盖上供应商单位公章；</w:t>
      </w: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rPr>
      </w:pPr>
    </w:p>
    <w:p>
      <w:pPr>
        <w:pStyle w:val="9"/>
        <w:pageBreakBefore w:val="0"/>
        <w:widowControl w:val="0"/>
        <w:kinsoku/>
        <w:wordWrap/>
        <w:overflowPunct/>
        <w:topLinePunct w:val="0"/>
        <w:bidi w:val="0"/>
        <w:spacing w:line="360" w:lineRule="auto"/>
        <w:ind w:left="0" w:leftChars="0" w:right="0" w:rightChars="0"/>
        <w:textAlignment w:val="auto"/>
        <w:rPr>
          <w:color w:val="000000"/>
          <w:sz w:val="25"/>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eastAsia="宋体"/>
          <w:color w:val="000000"/>
          <w:sz w:val="19"/>
          <w:lang w:val="en-US" w:eastAsia="zh-CN"/>
        </w:rPr>
      </w:pPr>
      <w:r>
        <w:rPr>
          <w:rFonts w:hint="eastAsia"/>
          <w:color w:val="000000"/>
        </w:rPr>
        <w:t>供应商（公章）：</w:t>
      </w:r>
      <w:r>
        <w:rPr>
          <w:rFonts w:hint="eastAsia"/>
          <w:color w:val="000000"/>
          <w:u w:val="single"/>
          <w:lang w:val="en-US" w:eastAsia="zh-CN"/>
        </w:rPr>
        <w:t xml:space="preserve">                      </w:t>
      </w: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right="0" w:rightChars="0"/>
        <w:textAlignment w:val="auto"/>
        <w:rPr>
          <w:color w:val="000000"/>
          <w:spacing w:val="-9"/>
        </w:rPr>
      </w:pPr>
      <w:r>
        <w:rPr>
          <w:rFonts w:hint="eastAsia"/>
          <w:color w:val="000000"/>
        </w:rPr>
        <w:t>法定代表人或委托代理人（签字或盖章</w:t>
      </w:r>
      <w:r>
        <w:rPr>
          <w:rFonts w:hint="eastAsia"/>
          <w:color w:val="000000"/>
          <w:spacing w:val="-9"/>
        </w:rPr>
        <w:t>）：</w:t>
      </w:r>
      <w:r>
        <w:rPr>
          <w:rFonts w:hint="eastAsia"/>
          <w:color w:val="000000"/>
          <w:spacing w:val="-9"/>
          <w:u w:val="single"/>
          <w:lang w:val="en-US" w:eastAsia="zh-CN"/>
        </w:rPr>
        <w:t xml:space="preserve">        </w:t>
      </w:r>
      <w:r>
        <w:rPr>
          <w:color w:val="000000"/>
          <w:spacing w:val="-9"/>
        </w:rPr>
        <w:t xml:space="preserve"> </w:t>
      </w: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eastAsia"/>
          <w:color w:val="000000"/>
          <w:u w:val="none"/>
          <w:lang w:val="en-US" w:eastAsia="zh-CN"/>
        </w:rPr>
      </w:pPr>
      <w:r>
        <w:rPr>
          <w:rFonts w:hint="eastAsia"/>
          <w:color w:val="000000"/>
        </w:rPr>
        <w:t>日期：</w:t>
      </w:r>
      <w:r>
        <w:rPr>
          <w:rFonts w:hint="eastAsia"/>
          <w:color w:val="000000"/>
          <w:u w:val="single"/>
          <w:lang w:val="en-US" w:eastAsia="zh-CN"/>
        </w:rPr>
        <w:t xml:space="preserve">        </w:t>
      </w:r>
      <w:r>
        <w:rPr>
          <w:rFonts w:hint="eastAsia"/>
          <w:color w:val="000000"/>
          <w:u w:val="none"/>
          <w:lang w:val="en-US" w:eastAsia="zh-CN"/>
        </w:rPr>
        <w:t>年</w:t>
      </w:r>
      <w:r>
        <w:rPr>
          <w:rFonts w:hint="eastAsia"/>
          <w:color w:val="000000"/>
          <w:u w:val="single"/>
          <w:lang w:val="en-US" w:eastAsia="zh-CN"/>
        </w:rPr>
        <w:t xml:space="preserve">       </w:t>
      </w:r>
      <w:r>
        <w:rPr>
          <w:rFonts w:hint="eastAsia"/>
          <w:color w:val="000000"/>
          <w:u w:val="none"/>
          <w:lang w:val="en-US" w:eastAsia="zh-CN"/>
        </w:rPr>
        <w:t>月</w:t>
      </w:r>
      <w:r>
        <w:rPr>
          <w:rFonts w:hint="eastAsia"/>
          <w:color w:val="000000"/>
          <w:u w:val="single"/>
          <w:lang w:val="en-US" w:eastAsia="zh-CN"/>
        </w:rPr>
        <w:t xml:space="preserve">        </w:t>
      </w:r>
      <w:r>
        <w:rPr>
          <w:rFonts w:hint="eastAsia"/>
          <w:color w:val="000000"/>
          <w:u w:val="none"/>
          <w:lang w:val="en-US" w:eastAsia="zh-CN"/>
        </w:rPr>
        <w:t>日</w:t>
      </w:r>
    </w:p>
    <w:p>
      <w:pPr>
        <w:pStyle w:val="9"/>
        <w:keepNext w:val="0"/>
        <w:keepLines w:val="0"/>
        <w:pageBreakBefore w:val="0"/>
        <w:widowControl w:val="0"/>
        <w:tabs>
          <w:tab w:val="left" w:pos="5655"/>
          <w:tab w:val="left" w:pos="6615"/>
          <w:tab w:val="left" w:pos="7335"/>
          <w:tab w:val="left" w:pos="8055"/>
        </w:tabs>
        <w:kinsoku/>
        <w:wordWrap/>
        <w:overflowPunct/>
        <w:topLinePunct w:val="0"/>
        <w:autoSpaceDE/>
        <w:autoSpaceDN/>
        <w:bidi w:val="0"/>
        <w:adjustRightInd/>
        <w:snapToGrid/>
        <w:spacing w:line="360" w:lineRule="auto"/>
        <w:ind w:left="0" w:leftChars="0" w:right="0" w:rightChars="0" w:hanging="3"/>
        <w:textAlignment w:val="auto"/>
        <w:rPr>
          <w:rFonts w:hint="default"/>
          <w:color w:val="000000"/>
          <w:u w:val="none"/>
          <w:lang w:val="en-US" w:eastAsia="zh-CN"/>
        </w:rPr>
      </w:pPr>
    </w:p>
    <w:p>
      <w:pPr>
        <w:pageBreakBefore w:val="0"/>
        <w:widowControl w:val="0"/>
        <w:kinsoku/>
        <w:wordWrap/>
        <w:overflowPunct/>
        <w:topLinePunct w:val="0"/>
        <w:bidi w:val="0"/>
        <w:spacing w:line="360" w:lineRule="auto"/>
        <w:ind w:left="0" w:leftChars="0" w:right="0" w:rightChars="0"/>
        <w:textAlignment w:val="auto"/>
        <w:rPr>
          <w:color w:val="000000"/>
        </w:rPr>
        <w:sectPr>
          <w:footerReference r:id="rId6" w:type="default"/>
          <w:pgSz w:w="11910" w:h="16840"/>
          <w:pgMar w:top="1360" w:right="280" w:bottom="1420" w:left="1160" w:header="0" w:footer="1237" w:gutter="0"/>
          <w:pgNumType w:start="33"/>
          <w:cols w:equalWidth="0" w:num="1">
            <w:col w:w="10470"/>
          </w:cols>
        </w:sectPr>
      </w:pPr>
    </w:p>
    <w:p>
      <w:pPr>
        <w:pageBreakBefore w:val="0"/>
        <w:widowControl w:val="0"/>
        <w:kinsoku/>
        <w:wordWrap/>
        <w:overflowPunct/>
        <w:topLinePunct w:val="0"/>
        <w:bidi w:val="0"/>
        <w:spacing w:line="360" w:lineRule="auto"/>
        <w:ind w:left="0" w:leftChars="0" w:right="0" w:rightChars="0"/>
        <w:jc w:val="center"/>
        <w:textAlignment w:val="auto"/>
        <w:rPr>
          <w:rFonts w:hint="eastAsia" w:hAnsi="宋体"/>
          <w:b/>
          <w:sz w:val="32"/>
          <w:szCs w:val="24"/>
        </w:rPr>
      </w:pPr>
      <w:r>
        <w:rPr>
          <w:rFonts w:hint="eastAsia" w:hAnsi="宋体"/>
          <w:b/>
          <w:sz w:val="32"/>
          <w:szCs w:val="24"/>
          <w:lang w:val="en-US" w:eastAsia="zh-CN"/>
        </w:rPr>
        <w:t>七</w:t>
      </w:r>
      <w:r>
        <w:rPr>
          <w:rFonts w:hint="eastAsia" w:hAnsi="宋体"/>
          <w:b/>
          <w:sz w:val="32"/>
          <w:szCs w:val="24"/>
        </w:rPr>
        <w:t>、无重大违法记录声明</w:t>
      </w:r>
    </w:p>
    <w:p>
      <w:pPr>
        <w:pageBreakBefore w:val="0"/>
        <w:widowControl w:val="0"/>
        <w:kinsoku/>
        <w:wordWrap/>
        <w:overflowPunct/>
        <w:topLinePunct w:val="0"/>
        <w:bidi w:val="0"/>
        <w:spacing w:line="360" w:lineRule="auto"/>
        <w:ind w:left="0" w:leftChars="0" w:right="0" w:rightChars="0" w:firstLine="601"/>
        <w:textAlignment w:val="auto"/>
        <w:rPr>
          <w:rFonts w:hint="eastAsia" w:hAnsi="宋体"/>
          <w:sz w:val="24"/>
        </w:rPr>
      </w:pPr>
    </w:p>
    <w:p>
      <w:pPr>
        <w:pageBreakBefore w:val="0"/>
        <w:widowControl w:val="0"/>
        <w:kinsoku/>
        <w:wordWrap/>
        <w:overflowPunct/>
        <w:topLinePunct w:val="0"/>
        <w:bidi w:val="0"/>
        <w:spacing w:line="360" w:lineRule="auto"/>
        <w:ind w:left="0" w:leftChars="0" w:right="0" w:rightChars="0" w:firstLine="601"/>
        <w:textAlignment w:val="auto"/>
        <w:rPr>
          <w:rFonts w:hint="eastAsia" w:ascii="新宋体" w:hAnsi="宋体" w:eastAsia="新宋体" w:cs="宋体"/>
          <w:color w:val="000000"/>
          <w:kern w:val="2"/>
          <w:sz w:val="24"/>
          <w:szCs w:val="22"/>
          <w:lang w:val="zh-CN" w:eastAsia="zh-CN" w:bidi="ar-SA"/>
        </w:rPr>
      </w:pPr>
      <w:r>
        <w:rPr>
          <w:rFonts w:hint="eastAsia" w:ascii="新宋体" w:hAnsi="宋体" w:eastAsia="新宋体" w:cs="宋体"/>
          <w:color w:val="000000"/>
          <w:kern w:val="2"/>
          <w:sz w:val="24"/>
          <w:szCs w:val="22"/>
          <w:lang w:val="zh-CN" w:eastAsia="zh-CN" w:bidi="ar-SA"/>
        </w:rPr>
        <w:t>我单位现参与</w:t>
      </w:r>
      <w:r>
        <w:rPr>
          <w:rFonts w:hint="eastAsia" w:ascii="新宋体" w:hAnsi="宋体" w:eastAsia="新宋体" w:cs="宋体"/>
          <w:color w:val="000000"/>
          <w:kern w:val="2"/>
          <w:sz w:val="24"/>
          <w:szCs w:val="22"/>
          <w:u w:val="single"/>
          <w:lang w:val="zh-CN" w:eastAsia="zh-CN" w:bidi="ar-SA"/>
        </w:rPr>
        <w:t xml:space="preserve"> </w:t>
      </w:r>
      <w:r>
        <w:rPr>
          <w:rFonts w:hint="eastAsia" w:ascii="宋体" w:hAnsi="宋体"/>
          <w:b/>
          <w:bCs/>
          <w:color w:val="000000"/>
          <w:sz w:val="30"/>
          <w:szCs w:val="30"/>
          <w:u w:val="single"/>
        </w:rPr>
        <w:t>资产管理系统购置项目</w:t>
      </w:r>
      <w:r>
        <w:rPr>
          <w:rFonts w:hint="eastAsia"/>
          <w:color w:val="000000"/>
          <w:u w:val="single"/>
          <w:lang w:val="en-US" w:eastAsia="zh-CN"/>
        </w:rPr>
        <w:t xml:space="preserve"> </w:t>
      </w:r>
      <w:r>
        <w:rPr>
          <w:rFonts w:hint="eastAsia" w:ascii="新宋体" w:hAnsi="宋体" w:eastAsia="新宋体" w:cs="宋体"/>
          <w:color w:val="000000"/>
          <w:kern w:val="2"/>
          <w:sz w:val="24"/>
          <w:szCs w:val="22"/>
          <w:u w:val="single"/>
          <w:lang w:val="zh-CN" w:eastAsia="zh-CN" w:bidi="ar-SA"/>
        </w:rPr>
        <w:t xml:space="preserve"> </w:t>
      </w:r>
      <w:r>
        <w:rPr>
          <w:rFonts w:hint="eastAsia" w:ascii="新宋体" w:hAnsi="宋体" w:eastAsia="新宋体" w:cs="宋体"/>
          <w:color w:val="000000"/>
          <w:kern w:val="2"/>
          <w:sz w:val="24"/>
          <w:szCs w:val="22"/>
          <w:lang w:val="zh-CN" w:eastAsia="zh-CN" w:bidi="ar-SA"/>
        </w:rPr>
        <w:t>项目，并作出如下声明：</w:t>
      </w:r>
    </w:p>
    <w:p>
      <w:pPr>
        <w:pageBreakBefore w:val="0"/>
        <w:widowControl w:val="0"/>
        <w:kinsoku/>
        <w:wordWrap/>
        <w:overflowPunct/>
        <w:topLinePunct w:val="0"/>
        <w:bidi w:val="0"/>
        <w:spacing w:line="360" w:lineRule="auto"/>
        <w:ind w:left="0" w:leftChars="0" w:right="0" w:rightChars="0" w:firstLine="601"/>
        <w:textAlignment w:val="auto"/>
        <w:rPr>
          <w:rFonts w:hint="eastAsia" w:ascii="新宋体" w:hAnsi="宋体" w:eastAsia="新宋体" w:cs="宋体"/>
          <w:color w:val="000000"/>
          <w:kern w:val="2"/>
          <w:sz w:val="24"/>
          <w:szCs w:val="22"/>
          <w:lang w:val="zh-CN" w:eastAsia="zh-CN" w:bidi="ar-SA"/>
        </w:rPr>
      </w:pPr>
      <w:r>
        <w:rPr>
          <w:rFonts w:hint="eastAsia" w:ascii="新宋体" w:hAnsi="宋体" w:eastAsia="新宋体" w:cs="宋体"/>
          <w:color w:val="000000"/>
          <w:kern w:val="2"/>
          <w:sz w:val="24"/>
          <w:szCs w:val="22"/>
          <w:lang w:val="zh-CN" w:eastAsia="zh-CN" w:bidi="ar-SA"/>
        </w:rPr>
        <w:t>我单位在参加本次政府采购活动前3年内，在经营活动中没有重大违法记录；</w:t>
      </w:r>
    </w:p>
    <w:p>
      <w:pPr>
        <w:pageBreakBefore w:val="0"/>
        <w:widowControl w:val="0"/>
        <w:kinsoku/>
        <w:wordWrap/>
        <w:overflowPunct/>
        <w:topLinePunct w:val="0"/>
        <w:autoSpaceDE w:val="0"/>
        <w:autoSpaceDN w:val="0"/>
        <w:bidi w:val="0"/>
        <w:adjustRightInd w:val="0"/>
        <w:spacing w:line="360" w:lineRule="auto"/>
        <w:ind w:left="0" w:leftChars="0" w:right="0" w:rightChars="0" w:hanging="630"/>
        <w:jc w:val="left"/>
        <w:textAlignment w:val="auto"/>
        <w:rPr>
          <w:rFonts w:hint="eastAsia" w:ascii="新宋体" w:hAnsi="宋体" w:eastAsia="新宋体" w:cs="宋体"/>
          <w:color w:val="000000"/>
          <w:kern w:val="2"/>
          <w:sz w:val="24"/>
          <w:szCs w:val="22"/>
          <w:lang w:val="zh-CN" w:eastAsia="zh-CN" w:bidi="ar-SA"/>
        </w:rPr>
      </w:pPr>
    </w:p>
    <w:p>
      <w:pPr>
        <w:pageBreakBefore w:val="0"/>
        <w:widowControl w:val="0"/>
        <w:kinsoku/>
        <w:wordWrap/>
        <w:overflowPunct/>
        <w:topLinePunct w:val="0"/>
        <w:bidi w:val="0"/>
        <w:spacing w:line="360" w:lineRule="auto"/>
        <w:ind w:left="0" w:leftChars="0" w:right="0" w:rightChars="0" w:firstLine="601"/>
        <w:textAlignment w:val="auto"/>
        <w:rPr>
          <w:rFonts w:hint="eastAsia" w:ascii="新宋体" w:hAnsi="宋体" w:eastAsia="新宋体" w:cs="宋体"/>
          <w:color w:val="000000"/>
          <w:kern w:val="2"/>
          <w:sz w:val="24"/>
          <w:szCs w:val="22"/>
          <w:lang w:val="zh-CN" w:eastAsia="zh-CN" w:bidi="ar-SA"/>
        </w:rPr>
      </w:pPr>
      <w:r>
        <w:rPr>
          <w:rFonts w:hint="eastAsia" w:ascii="新宋体" w:hAnsi="宋体" w:eastAsia="新宋体" w:cs="宋体"/>
          <w:color w:val="000000"/>
          <w:kern w:val="2"/>
          <w:sz w:val="24"/>
          <w:szCs w:val="22"/>
          <w:lang w:val="zh-CN" w:eastAsia="zh-CN" w:bidi="ar-SA"/>
        </w:rPr>
        <w:t>特此声明；</w:t>
      </w:r>
    </w:p>
    <w:p>
      <w:pPr>
        <w:pStyle w:val="2"/>
        <w:rPr>
          <w:rFonts w:hint="eastAsia" w:ascii="新宋体" w:hAnsi="宋体" w:eastAsia="新宋体" w:cs="宋体"/>
          <w:color w:val="000000"/>
          <w:kern w:val="2"/>
          <w:sz w:val="24"/>
          <w:szCs w:val="22"/>
          <w:lang w:val="zh-CN" w:eastAsia="zh-CN" w:bidi="ar-SA"/>
        </w:rPr>
      </w:pPr>
    </w:p>
    <w:p>
      <w:pPr>
        <w:pageBreakBefore w:val="0"/>
        <w:widowControl w:val="0"/>
        <w:kinsoku/>
        <w:wordWrap/>
        <w:overflowPunct/>
        <w:topLinePunct w:val="0"/>
        <w:bidi w:val="0"/>
        <w:spacing w:line="360" w:lineRule="auto"/>
        <w:ind w:left="0" w:leftChars="0" w:right="0" w:rightChars="0"/>
        <w:textAlignment w:val="auto"/>
        <w:rPr>
          <w:rFonts w:hint="eastAsia" w:ascii="新宋体" w:hAnsi="宋体" w:eastAsia="新宋体" w:cs="宋体"/>
          <w:color w:val="000000"/>
          <w:kern w:val="2"/>
          <w:sz w:val="24"/>
          <w:szCs w:val="22"/>
          <w:lang w:val="zh-CN" w:eastAsia="zh-CN" w:bidi="ar-SA"/>
        </w:rPr>
      </w:pPr>
      <w:r>
        <w:rPr>
          <w:rFonts w:hint="eastAsia" w:ascii="新宋体" w:hAnsi="宋体" w:eastAsia="新宋体" w:cs="宋体"/>
          <w:color w:val="000000"/>
          <w:kern w:val="2"/>
          <w:sz w:val="24"/>
          <w:szCs w:val="22"/>
          <w:lang w:val="zh-CN" w:eastAsia="zh-CN" w:bidi="ar-SA"/>
        </w:rPr>
        <w:t>注：重大违法记录是指供应商因违法经营受到刑事处罚或者责令停产停业、吊销许可证或者执照、较大数额罚款等行政处罚；</w:t>
      </w: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9"/>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olor w:val="000000"/>
          <w:sz w:val="19"/>
          <w:u w:val="single"/>
          <w:lang w:val="en-US" w:eastAsia="zh-CN"/>
        </w:rPr>
      </w:pPr>
      <w:r>
        <w:rPr>
          <w:rFonts w:hint="eastAsia"/>
          <w:color w:val="000000"/>
        </w:rPr>
        <w:t>供应商（公章）：</w:t>
      </w:r>
      <w:r>
        <w:rPr>
          <w:rFonts w:hint="eastAsia"/>
          <w:color w:val="000000"/>
          <w:sz w:val="19"/>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olor w:val="000000"/>
          <w:spacing w:val="-9"/>
          <w:u w:val="single"/>
          <w:lang w:val="en-US" w:eastAsia="zh-CN"/>
        </w:rPr>
      </w:pPr>
      <w:r>
        <w:rPr>
          <w:rFonts w:hint="eastAsia"/>
          <w:color w:val="000000"/>
        </w:rPr>
        <w:t>法定代表人或委托代理人（签字或盖章</w:t>
      </w:r>
      <w:r>
        <w:rPr>
          <w:rFonts w:hint="eastAsia"/>
          <w:color w:val="000000"/>
          <w:spacing w:val="-9"/>
        </w:rPr>
        <w:t>）：</w:t>
      </w:r>
      <w:r>
        <w:rPr>
          <w:rFonts w:hint="eastAsia"/>
          <w:color w:val="000000"/>
          <w:spacing w:val="-9"/>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eastAsia="宋体"/>
          <w:color w:val="000000"/>
          <w:u w:val="single"/>
          <w:lang w:val="en-US" w:eastAsia="zh-CN"/>
        </w:rPr>
      </w:pPr>
      <w:r>
        <w:rPr>
          <w:rFonts w:hint="eastAsia"/>
          <w:color w:val="000000"/>
        </w:rPr>
        <w:t>日</w:t>
      </w:r>
      <w:r>
        <w:rPr>
          <w:rFonts w:hint="eastAsia"/>
          <w:color w:val="000000"/>
          <w:lang w:val="en-US" w:eastAsia="zh-CN"/>
        </w:rPr>
        <w:t xml:space="preserve">        </w:t>
      </w:r>
      <w:r>
        <w:rPr>
          <w:rFonts w:hint="eastAsia"/>
          <w:color w:val="000000"/>
        </w:rPr>
        <w:t>期：</w:t>
      </w:r>
      <w:r>
        <w:rPr>
          <w:rFonts w:hint="eastAsia"/>
          <w:color w:val="000000"/>
          <w:u w:val="single"/>
          <w:lang w:val="en-US" w:eastAsia="zh-CN"/>
        </w:rPr>
        <w:t xml:space="preserve">          </w:t>
      </w:r>
      <w:r>
        <w:rPr>
          <w:rFonts w:hint="eastAsia"/>
          <w:color w:val="000000"/>
          <w:u w:val="none"/>
          <w:lang w:val="en-US" w:eastAsia="zh-CN"/>
        </w:rPr>
        <w:t>年</w:t>
      </w:r>
      <w:r>
        <w:rPr>
          <w:rFonts w:hint="eastAsia"/>
          <w:color w:val="000000"/>
          <w:u w:val="single"/>
          <w:lang w:val="en-US" w:eastAsia="zh-CN"/>
        </w:rPr>
        <w:t xml:space="preserve">        </w:t>
      </w:r>
      <w:r>
        <w:rPr>
          <w:rFonts w:hint="eastAsia"/>
          <w:color w:val="000000"/>
          <w:u w:val="none"/>
          <w:lang w:val="en-US" w:eastAsia="zh-CN"/>
        </w:rPr>
        <w:t>月</w:t>
      </w:r>
      <w:r>
        <w:rPr>
          <w:rFonts w:hint="eastAsia"/>
          <w:color w:val="000000"/>
          <w:u w:val="single"/>
          <w:lang w:val="en-US" w:eastAsia="zh-CN"/>
        </w:rPr>
        <w:t xml:space="preserve">         </w:t>
      </w:r>
      <w:r>
        <w:rPr>
          <w:rFonts w:hint="eastAsia"/>
          <w:color w:val="000000"/>
          <w:u w:val="none"/>
          <w:lang w:val="en-US" w:eastAsia="zh-CN"/>
        </w:rPr>
        <w:t>日</w:t>
      </w:r>
    </w:p>
    <w:p>
      <w:pPr>
        <w:pageBreakBefore w:val="0"/>
        <w:widowControl w:val="0"/>
        <w:kinsoku/>
        <w:wordWrap/>
        <w:overflowPunct/>
        <w:topLinePunct w:val="0"/>
        <w:bidi w:val="0"/>
        <w:spacing w:line="360" w:lineRule="auto"/>
        <w:ind w:left="0" w:leftChars="0" w:right="0" w:rightChars="0"/>
        <w:textAlignment w:val="auto"/>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rPr>
          <w:rFonts w:hint="eastAsia" w:ascii="新宋体" w:hAnsi="宋体" w:eastAsia="新宋体" w:cs="宋体"/>
          <w:color w:val="000000"/>
          <w:kern w:val="2"/>
          <w:sz w:val="24"/>
          <w:szCs w:val="22"/>
          <w:lang w:val="zh-CN" w:eastAsia="zh-CN" w:bidi="ar-SA"/>
        </w:rPr>
      </w:pPr>
    </w:p>
    <w:p>
      <w:pPr>
        <w:pStyle w:val="2"/>
        <w:pageBreakBefore w:val="0"/>
        <w:widowControl w:val="0"/>
        <w:kinsoku/>
        <w:wordWrap/>
        <w:overflowPunct/>
        <w:topLinePunct w:val="0"/>
        <w:bidi w:val="0"/>
        <w:spacing w:line="360" w:lineRule="auto"/>
        <w:ind w:left="0" w:leftChars="0" w:right="0" w:rightChars="0"/>
        <w:textAlignment w:val="auto"/>
        <w:rPr>
          <w:rFonts w:hint="eastAsia" w:ascii="新宋体" w:hAnsi="宋体" w:eastAsia="新宋体" w:cs="宋体"/>
          <w:color w:val="000000"/>
          <w:kern w:val="2"/>
          <w:sz w:val="24"/>
          <w:szCs w:val="22"/>
          <w:lang w:val="zh-CN" w:eastAsia="zh-CN" w:bidi="ar-SA"/>
        </w:rPr>
      </w:pPr>
    </w:p>
    <w:p>
      <w:pPr>
        <w:pStyle w:val="2"/>
        <w:pageBreakBefore w:val="0"/>
        <w:widowControl w:val="0"/>
        <w:kinsoku/>
        <w:wordWrap/>
        <w:overflowPunct/>
        <w:topLinePunct w:val="0"/>
        <w:bidi w:val="0"/>
        <w:spacing w:line="360" w:lineRule="auto"/>
        <w:ind w:left="0" w:leftChars="0" w:right="0" w:rightChars="0"/>
        <w:textAlignment w:val="auto"/>
        <w:rPr>
          <w:rFonts w:hint="eastAsia" w:ascii="新宋体" w:hAnsi="宋体" w:eastAsia="新宋体" w:cs="宋体"/>
          <w:color w:val="000000"/>
          <w:kern w:val="2"/>
          <w:sz w:val="24"/>
          <w:szCs w:val="22"/>
          <w:lang w:val="zh-CN" w:eastAsia="zh-CN" w:bidi="ar-SA"/>
        </w:rPr>
      </w:pPr>
    </w:p>
    <w:p>
      <w:pPr>
        <w:pStyle w:val="2"/>
        <w:pageBreakBefore w:val="0"/>
        <w:widowControl w:val="0"/>
        <w:kinsoku/>
        <w:wordWrap/>
        <w:overflowPunct/>
        <w:topLinePunct w:val="0"/>
        <w:bidi w:val="0"/>
        <w:spacing w:line="360" w:lineRule="auto"/>
        <w:ind w:left="0" w:leftChars="0" w:right="0" w:rightChars="0"/>
        <w:textAlignment w:val="auto"/>
        <w:rPr>
          <w:rFonts w:hint="eastAsia" w:ascii="新宋体" w:hAnsi="宋体" w:eastAsia="新宋体" w:cs="宋体"/>
          <w:color w:val="000000"/>
          <w:kern w:val="2"/>
          <w:sz w:val="24"/>
          <w:szCs w:val="22"/>
          <w:lang w:val="zh-CN" w:eastAsia="zh-CN" w:bidi="ar-SA"/>
        </w:rPr>
      </w:pPr>
    </w:p>
    <w:p>
      <w:pPr>
        <w:pageBreakBefore w:val="0"/>
        <w:widowControl w:val="0"/>
        <w:kinsoku/>
        <w:wordWrap/>
        <w:overflowPunct/>
        <w:topLinePunct w:val="0"/>
        <w:bidi w:val="0"/>
        <w:spacing w:line="360" w:lineRule="auto"/>
        <w:ind w:left="0" w:leftChars="0" w:right="0" w:rightChars="0"/>
        <w:jc w:val="center"/>
        <w:textAlignment w:val="auto"/>
        <w:rPr>
          <w:rFonts w:hint="eastAsia" w:hAnsi="宋体"/>
          <w:b/>
          <w:sz w:val="32"/>
          <w:szCs w:val="24"/>
          <w:lang w:val="en-US" w:eastAsia="zh-CN"/>
        </w:rPr>
      </w:pPr>
      <w:r>
        <w:rPr>
          <w:rFonts w:hint="eastAsia" w:hAnsi="宋体"/>
          <w:b/>
          <w:sz w:val="32"/>
          <w:szCs w:val="24"/>
          <w:lang w:val="en-US" w:eastAsia="zh-CN"/>
        </w:rPr>
        <w:t>八、供应商认为需要提供的资料；（格式自拟）</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badi MT Condensed Light">
    <w:altName w:val="MS PGothic"/>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rPr>
      <mc:AlternateContent>
        <mc:Choice Requires="wps">
          <w:drawing>
            <wp:anchor distT="0" distB="0" distL="114300" distR="114300" simplePos="0" relativeHeight="251656192" behindDoc="1" locked="0" layoutInCell="1" allowOverlap="1">
              <wp:simplePos x="0" y="0"/>
              <wp:positionH relativeFrom="page">
                <wp:posOffset>3787140</wp:posOffset>
              </wp:positionH>
              <wp:positionV relativeFrom="page">
                <wp:posOffset>9766935</wp:posOffset>
              </wp:positionV>
              <wp:extent cx="167005" cy="1524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33</w:t>
                          </w:r>
                          <w:r>
                            <w:rPr>
                              <w:rFonts w:ascii="Times New Roman"/>
                              <w:sz w:val="18"/>
                            </w:rPr>
                            <w:fldChar w:fldCharType="end"/>
                          </w:r>
                        </w:p>
                      </w:txbxContent>
                    </wps:txbx>
                    <wps:bodyPr lIns="0" tIns="0" rIns="0" bIns="0" upright="1"/>
                  </wps:wsp>
                </a:graphicData>
              </a:graphic>
            </wp:anchor>
          </w:drawing>
        </mc:Choice>
        <mc:Fallback>
          <w:pict>
            <v:shape id="文本框 2" o:spid="_x0000_s1026" o:spt="202" type="#_x0000_t202" style="position:absolute;left:0pt;margin-left:298.2pt;margin-top:769.05pt;height:12pt;width:13.15pt;mso-position-horizontal-relative:page;mso-position-vertical-relative:page;z-index:-251660288;mso-width-relative:page;mso-height-relative:page;" filled="f" stroked="f" coordsize="21600,21600" o:gfxdata="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5tDaNsAAAANAQAADwAAAAAA&#10;AAABACAAAAAiAAAAZHJzL2Rvd25yZXYueG1sUEsBAhQAFAAAAAgAh07iQO/q3jeeAQAAJAMAAA4A&#10;AAAAAAAAAQAgAAAAKgEAAGRycy9lMm9Eb2MueG1sUEsFBgAAAAAGAAYAWQEAADoFAAAAAA==&#10;">
              <v:fill on="f" focussize="0,0"/>
              <v:stroke on="f"/>
              <v:imagedata o:title=""/>
              <o:lock v:ext="edit" aspectratio="f"/>
              <v:textbox inset="0mm,0mm,0mm,0mm">
                <w:txbxContent>
                  <w:p>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33</w:t>
                    </w:r>
                    <w:r>
                      <w:rPr>
                        <w:rFonts w:ascii="Times New Roman"/>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rPr>
      <mc:AlternateContent>
        <mc:Choice Requires="wps">
          <w:drawing>
            <wp:anchor distT="0" distB="0" distL="114300" distR="114300" simplePos="0" relativeHeight="251658240" behindDoc="1" locked="0" layoutInCell="1" allowOverlap="1">
              <wp:simplePos x="0" y="0"/>
              <wp:positionH relativeFrom="page">
                <wp:posOffset>3787140</wp:posOffset>
              </wp:positionH>
              <wp:positionV relativeFrom="page">
                <wp:posOffset>9766935</wp:posOffset>
              </wp:positionV>
              <wp:extent cx="167005" cy="152400"/>
              <wp:effectExtent l="0" t="0" r="0" b="0"/>
              <wp:wrapNone/>
              <wp:docPr id="17" name="文本框 2"/>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33</w:t>
                          </w:r>
                          <w:r>
                            <w:rPr>
                              <w:rFonts w:ascii="Times New Roman"/>
                              <w:sz w:val="18"/>
                            </w:rPr>
                            <w:fldChar w:fldCharType="end"/>
                          </w:r>
                        </w:p>
                      </w:txbxContent>
                    </wps:txbx>
                    <wps:bodyPr lIns="0" tIns="0" rIns="0" bIns="0" upright="1"/>
                  </wps:wsp>
                </a:graphicData>
              </a:graphic>
            </wp:anchor>
          </w:drawing>
        </mc:Choice>
        <mc:Fallback>
          <w:pict>
            <v:shape id="文本框 2" o:spid="_x0000_s1026" o:spt="202" type="#_x0000_t202" style="position:absolute;left:0pt;margin-left:298.2pt;margin-top:769.05pt;height:12pt;width:13.15pt;mso-position-horizontal-relative:page;mso-position-vertical-relative:page;z-index:-251658240;mso-width-relative:page;mso-height-relative:page;" filled="f" stroked="f" coordsize="21600,21600" o:gfxdata="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ObQ2jbAAAADQEAAA8AAAAA&#10;AAAAAQAgAAAAIgAAAGRycy9kb3ducmV2LnhtbFBLAQIUABQAAAAIAIdO4kAB+jNHnwEAACQDAAAO&#10;AAAAAAAAAAEAIAAAACoBAABkcnMvZTJvRG9jLnhtbFBLBQYAAAAABgAGAFkBAAA7BQAAAAA=&#10;">
              <v:fill on="f" focussize="0,0"/>
              <v:stroke on="f"/>
              <v:imagedata o:title=""/>
              <o:lock v:ext="edit" aspectratio="f"/>
              <v:textbox inset="0mm,0mm,0mm,0mm">
                <w:txbxContent>
                  <w:p>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33</w:t>
                    </w:r>
                    <w:r>
                      <w:rPr>
                        <w:rFonts w:ascii="Times New Roman"/>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rPr>
      <mc:AlternateContent>
        <mc:Choice Requires="wps">
          <w:drawing>
            <wp:anchor distT="0" distB="0" distL="114300" distR="114300" simplePos="0" relativeHeight="251657216" behindDoc="1" locked="0" layoutInCell="1" allowOverlap="1">
              <wp:simplePos x="0" y="0"/>
              <wp:positionH relativeFrom="page">
                <wp:posOffset>3787140</wp:posOffset>
              </wp:positionH>
              <wp:positionV relativeFrom="page">
                <wp:posOffset>9766935</wp:posOffset>
              </wp:positionV>
              <wp:extent cx="167005" cy="1524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35</w:t>
                          </w:r>
                          <w:r>
                            <w:rPr>
                              <w:rFonts w:ascii="Times New Roman"/>
                              <w:sz w:val="18"/>
                            </w:rPr>
                            <w:fldChar w:fldCharType="end"/>
                          </w:r>
                        </w:p>
                      </w:txbxContent>
                    </wps:txbx>
                    <wps:bodyPr lIns="0" tIns="0" rIns="0" bIns="0" upright="1"/>
                  </wps:wsp>
                </a:graphicData>
              </a:graphic>
            </wp:anchor>
          </w:drawing>
        </mc:Choice>
        <mc:Fallback>
          <w:pict>
            <v:shape id="文本框 3" o:spid="_x0000_s1026" o:spt="202" type="#_x0000_t202" style="position:absolute;left:0pt;margin-left:298.2pt;margin-top:769.05pt;height:12pt;width:13.15pt;mso-position-horizontal-relative:page;mso-position-vertical-relative:page;z-index:-251659264;mso-width-relative:page;mso-height-relative:page;" filled="f" stroked="f" coordsize="21600,21600" o:gfxdata="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ObQ2jbAAAADQEAAA8AAAAA&#10;AAAAAQAgAAAAIgAAAGRycy9kb3ducmV2LnhtbFBLAQIUABQAAAAIAIdO4kCDg2zcnwEAACQDAAAO&#10;AAAAAAAAAAEAIAAAACoBAABkcnMvZTJvRG9jLnhtbFBLBQYAAAAABgAGAFkBAAA7BQAAAAA=&#10;">
              <v:fill on="f" focussize="0,0"/>
              <v:stroke on="f"/>
              <v:imagedata o:title=""/>
              <o:lock v:ext="edit" aspectratio="f"/>
              <v:textbox inset="0mm,0mm,0mm,0mm">
                <w:txbxContent>
                  <w:p>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35</w:t>
                    </w:r>
                    <w:r>
                      <w:rPr>
                        <w:rFonts w:ascii="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rPr>
      <mc:AlternateContent>
        <mc:Choice Requires="wps">
          <w:drawing>
            <wp:anchor distT="0" distB="0" distL="114300" distR="114300" simplePos="0" relativeHeight="251656192" behindDoc="1" locked="0" layoutInCell="1" allowOverlap="1">
              <wp:simplePos x="0" y="0"/>
              <wp:positionH relativeFrom="page">
                <wp:posOffset>3787140</wp:posOffset>
              </wp:positionH>
              <wp:positionV relativeFrom="page">
                <wp:posOffset>9766935</wp:posOffset>
              </wp:positionV>
              <wp:extent cx="167005" cy="152400"/>
              <wp:effectExtent l="0" t="0" r="0" b="0"/>
              <wp:wrapNone/>
              <wp:docPr id="22" name="文本框 2"/>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33</w:t>
                          </w:r>
                          <w:r>
                            <w:rPr>
                              <w:rFonts w:ascii="Times New Roman"/>
                              <w:sz w:val="18"/>
                            </w:rPr>
                            <w:fldChar w:fldCharType="end"/>
                          </w:r>
                        </w:p>
                      </w:txbxContent>
                    </wps:txbx>
                    <wps:bodyPr lIns="0" tIns="0" rIns="0" bIns="0" upright="1"/>
                  </wps:wsp>
                </a:graphicData>
              </a:graphic>
            </wp:anchor>
          </w:drawing>
        </mc:Choice>
        <mc:Fallback>
          <w:pict>
            <v:shape id="文本框 2" o:spid="_x0000_s1026" o:spt="202" type="#_x0000_t202" style="position:absolute;left:0pt;margin-left:298.2pt;margin-top:769.05pt;height:12pt;width:13.15pt;mso-position-horizontal-relative:page;mso-position-vertical-relative:page;z-index:-251660288;mso-width-relative:page;mso-height-relative:page;" filled="f" stroked="f" coordsize="21600,21600" o:gfxdata="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ObQ2jbAAAADQEAAA8AAAAA&#10;AAAAAQAgAAAAIgAAAGRycy9kb3ducmV2LnhtbFBLAQIUABQAAAAIAIdO4kDI9ZCCnwEAACQDAAAO&#10;AAAAAAAAAAEAIAAAACoBAABkcnMvZTJvRG9jLnhtbFBLBQYAAAAABgAGAFkBAAA7BQAAAAA=&#10;">
              <v:fill on="f" focussize="0,0"/>
              <v:stroke on="f"/>
              <v:imagedata o:title=""/>
              <o:lock v:ext="edit" aspectratio="f"/>
              <v:textbox inset="0mm,0mm,0mm,0mm">
                <w:txbxContent>
                  <w:p>
                    <w:pPr>
                      <w:spacing w:before="12"/>
                      <w:ind w:left="4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33</w:t>
                    </w:r>
                    <w:r>
                      <w:rPr>
                        <w:rFonts w:ascii="Times New Roman"/>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fldChar w:fldCharType="begin"/>
                          </w:r>
                          <w:r>
                            <w:instrText xml:space="preserve"> PAGE  \* MERGEFORMAT </w:instrText>
                          </w:r>
                          <w:r>
                            <w:fldChar w:fldCharType="separate"/>
                          </w:r>
                          <w:r>
                            <w:rPr>
                              <w:sz w:val="18"/>
                            </w:rPr>
                            <w:t>36</w:t>
                          </w:r>
                          <w:r>
                            <w:rPr>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CxF7ke4AQAAVgMAAA4AAAAAAAAAAQAgAAAAIgEAAGRycy9lMm9Eb2MueG1sUEsFBgAAAAAG&#10;AAYAWQEAAEwFAAAAAA==&#10;">
              <v:fill on="f" focussize="0,0"/>
              <v:stroke on="f" weight="1.2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36</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1B8615"/>
    <w:multiLevelType w:val="singleLevel"/>
    <w:tmpl w:val="ED1B8615"/>
    <w:lvl w:ilvl="0" w:tentative="0">
      <w:start w:val="9"/>
      <w:numFmt w:val="decimal"/>
      <w:suff w:val="nothing"/>
      <w:lvlText w:val="%1、"/>
      <w:lvlJc w:val="left"/>
      <w:rPr>
        <w:rFonts w:cs="Times New Roman"/>
      </w:rPr>
    </w:lvl>
  </w:abstractNum>
  <w:abstractNum w:abstractNumId="1">
    <w:nsid w:val="58E55073"/>
    <w:multiLevelType w:val="singleLevel"/>
    <w:tmpl w:val="58E55073"/>
    <w:lvl w:ilvl="0" w:tentative="0">
      <w:start w:val="1"/>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C4"/>
    <w:rsid w:val="0005126A"/>
    <w:rsid w:val="00073D44"/>
    <w:rsid w:val="00091D82"/>
    <w:rsid w:val="000945A4"/>
    <w:rsid w:val="00097E74"/>
    <w:rsid w:val="000B7622"/>
    <w:rsid w:val="000C3ECA"/>
    <w:rsid w:val="000D3EAB"/>
    <w:rsid w:val="000E6516"/>
    <w:rsid w:val="000F3CB4"/>
    <w:rsid w:val="001431A6"/>
    <w:rsid w:val="00177AE6"/>
    <w:rsid w:val="00181EA2"/>
    <w:rsid w:val="00184D06"/>
    <w:rsid w:val="001858CB"/>
    <w:rsid w:val="00195943"/>
    <w:rsid w:val="001B0E0B"/>
    <w:rsid w:val="001C4871"/>
    <w:rsid w:val="001D6F5D"/>
    <w:rsid w:val="001E2737"/>
    <w:rsid w:val="0020525E"/>
    <w:rsid w:val="00261F9D"/>
    <w:rsid w:val="00281814"/>
    <w:rsid w:val="00282FE8"/>
    <w:rsid w:val="002A6E59"/>
    <w:rsid w:val="002D2F64"/>
    <w:rsid w:val="002D356D"/>
    <w:rsid w:val="002E009D"/>
    <w:rsid w:val="002F5AAB"/>
    <w:rsid w:val="002F6F49"/>
    <w:rsid w:val="0032770D"/>
    <w:rsid w:val="0033359B"/>
    <w:rsid w:val="00365C6E"/>
    <w:rsid w:val="00392285"/>
    <w:rsid w:val="003A3C28"/>
    <w:rsid w:val="003B24B4"/>
    <w:rsid w:val="003D58BD"/>
    <w:rsid w:val="003E3BEB"/>
    <w:rsid w:val="00403270"/>
    <w:rsid w:val="00403CB6"/>
    <w:rsid w:val="00437752"/>
    <w:rsid w:val="004406C9"/>
    <w:rsid w:val="0044182B"/>
    <w:rsid w:val="0046281C"/>
    <w:rsid w:val="00464212"/>
    <w:rsid w:val="00477A45"/>
    <w:rsid w:val="00477BC2"/>
    <w:rsid w:val="004C7945"/>
    <w:rsid w:val="00526D78"/>
    <w:rsid w:val="00535263"/>
    <w:rsid w:val="0057322B"/>
    <w:rsid w:val="005D3614"/>
    <w:rsid w:val="005F1BFB"/>
    <w:rsid w:val="005F26AB"/>
    <w:rsid w:val="005F476F"/>
    <w:rsid w:val="0062044E"/>
    <w:rsid w:val="00625F6D"/>
    <w:rsid w:val="00632C4D"/>
    <w:rsid w:val="006362D9"/>
    <w:rsid w:val="00654013"/>
    <w:rsid w:val="006647C0"/>
    <w:rsid w:val="0067317E"/>
    <w:rsid w:val="006B7134"/>
    <w:rsid w:val="006C1D56"/>
    <w:rsid w:val="006C6FCC"/>
    <w:rsid w:val="006D63DF"/>
    <w:rsid w:val="00737E6E"/>
    <w:rsid w:val="007426C4"/>
    <w:rsid w:val="00771821"/>
    <w:rsid w:val="00783074"/>
    <w:rsid w:val="00786FA0"/>
    <w:rsid w:val="007D256D"/>
    <w:rsid w:val="007E31ED"/>
    <w:rsid w:val="008127C9"/>
    <w:rsid w:val="00854435"/>
    <w:rsid w:val="00874F1D"/>
    <w:rsid w:val="00877E0A"/>
    <w:rsid w:val="00884DDF"/>
    <w:rsid w:val="008B3018"/>
    <w:rsid w:val="008B676D"/>
    <w:rsid w:val="008C5793"/>
    <w:rsid w:val="008D064C"/>
    <w:rsid w:val="00905DBF"/>
    <w:rsid w:val="00914FC1"/>
    <w:rsid w:val="009171C0"/>
    <w:rsid w:val="00933D9B"/>
    <w:rsid w:val="0093564B"/>
    <w:rsid w:val="00941655"/>
    <w:rsid w:val="00946D69"/>
    <w:rsid w:val="00956092"/>
    <w:rsid w:val="009930CC"/>
    <w:rsid w:val="009B4A4C"/>
    <w:rsid w:val="009F1634"/>
    <w:rsid w:val="009F39D4"/>
    <w:rsid w:val="00A35E39"/>
    <w:rsid w:val="00A64336"/>
    <w:rsid w:val="00A67F61"/>
    <w:rsid w:val="00A74F36"/>
    <w:rsid w:val="00A8263C"/>
    <w:rsid w:val="00A85D20"/>
    <w:rsid w:val="00A96133"/>
    <w:rsid w:val="00AA025A"/>
    <w:rsid w:val="00AF0B28"/>
    <w:rsid w:val="00B22865"/>
    <w:rsid w:val="00B33ED9"/>
    <w:rsid w:val="00B54E86"/>
    <w:rsid w:val="00B84B2A"/>
    <w:rsid w:val="00B95729"/>
    <w:rsid w:val="00B963DC"/>
    <w:rsid w:val="00BA4BBC"/>
    <w:rsid w:val="00BA67D6"/>
    <w:rsid w:val="00C05214"/>
    <w:rsid w:val="00C812CF"/>
    <w:rsid w:val="00C94B82"/>
    <w:rsid w:val="00C97660"/>
    <w:rsid w:val="00CD20D6"/>
    <w:rsid w:val="00CD3A8F"/>
    <w:rsid w:val="00D243F5"/>
    <w:rsid w:val="00D36BD6"/>
    <w:rsid w:val="00D47FF6"/>
    <w:rsid w:val="00D61047"/>
    <w:rsid w:val="00D779BB"/>
    <w:rsid w:val="00D85706"/>
    <w:rsid w:val="00D85E1C"/>
    <w:rsid w:val="00D91DA7"/>
    <w:rsid w:val="00DB25FA"/>
    <w:rsid w:val="00DB4334"/>
    <w:rsid w:val="00DC5FF2"/>
    <w:rsid w:val="00DD2CD7"/>
    <w:rsid w:val="00E0531B"/>
    <w:rsid w:val="00E12251"/>
    <w:rsid w:val="00E23C8C"/>
    <w:rsid w:val="00E255C8"/>
    <w:rsid w:val="00E31CEA"/>
    <w:rsid w:val="00E36E64"/>
    <w:rsid w:val="00E4064D"/>
    <w:rsid w:val="00E414D5"/>
    <w:rsid w:val="00E43B22"/>
    <w:rsid w:val="00E6093F"/>
    <w:rsid w:val="00E71E0C"/>
    <w:rsid w:val="00E73B72"/>
    <w:rsid w:val="00EB60E7"/>
    <w:rsid w:val="00ED6CA2"/>
    <w:rsid w:val="00EF08F9"/>
    <w:rsid w:val="00EF3365"/>
    <w:rsid w:val="00F1212B"/>
    <w:rsid w:val="00F210EF"/>
    <w:rsid w:val="00F41EE6"/>
    <w:rsid w:val="00FA2324"/>
    <w:rsid w:val="00FF0812"/>
    <w:rsid w:val="01052DCD"/>
    <w:rsid w:val="01251698"/>
    <w:rsid w:val="013569F8"/>
    <w:rsid w:val="013C6880"/>
    <w:rsid w:val="014A2204"/>
    <w:rsid w:val="01502CD6"/>
    <w:rsid w:val="01510A03"/>
    <w:rsid w:val="01664042"/>
    <w:rsid w:val="016F0EC7"/>
    <w:rsid w:val="01810D06"/>
    <w:rsid w:val="01955B6C"/>
    <w:rsid w:val="01AF3C1B"/>
    <w:rsid w:val="01B61106"/>
    <w:rsid w:val="01C426FD"/>
    <w:rsid w:val="01C73F0C"/>
    <w:rsid w:val="01D7187D"/>
    <w:rsid w:val="01DB75D6"/>
    <w:rsid w:val="01DF285B"/>
    <w:rsid w:val="01E33866"/>
    <w:rsid w:val="01FA152C"/>
    <w:rsid w:val="01FA27DF"/>
    <w:rsid w:val="02051012"/>
    <w:rsid w:val="020A6263"/>
    <w:rsid w:val="021A16FE"/>
    <w:rsid w:val="02394265"/>
    <w:rsid w:val="025B2C07"/>
    <w:rsid w:val="026541CA"/>
    <w:rsid w:val="02672096"/>
    <w:rsid w:val="0288571C"/>
    <w:rsid w:val="0297371A"/>
    <w:rsid w:val="02C64C45"/>
    <w:rsid w:val="02CE3D83"/>
    <w:rsid w:val="02E70292"/>
    <w:rsid w:val="02FE3F83"/>
    <w:rsid w:val="03077C75"/>
    <w:rsid w:val="032D508E"/>
    <w:rsid w:val="0331788C"/>
    <w:rsid w:val="034302E0"/>
    <w:rsid w:val="0351458E"/>
    <w:rsid w:val="0359090D"/>
    <w:rsid w:val="0369416A"/>
    <w:rsid w:val="03741EE5"/>
    <w:rsid w:val="037725E2"/>
    <w:rsid w:val="037E4A46"/>
    <w:rsid w:val="038A00C0"/>
    <w:rsid w:val="039737DD"/>
    <w:rsid w:val="03BE6D51"/>
    <w:rsid w:val="03DA5CA0"/>
    <w:rsid w:val="03E0340C"/>
    <w:rsid w:val="03FE0FB0"/>
    <w:rsid w:val="04005F12"/>
    <w:rsid w:val="04010C35"/>
    <w:rsid w:val="04036D4C"/>
    <w:rsid w:val="04102EC0"/>
    <w:rsid w:val="041812FB"/>
    <w:rsid w:val="0434024D"/>
    <w:rsid w:val="043761BB"/>
    <w:rsid w:val="043929B0"/>
    <w:rsid w:val="043A29C6"/>
    <w:rsid w:val="04735D39"/>
    <w:rsid w:val="04781968"/>
    <w:rsid w:val="04887DD7"/>
    <w:rsid w:val="049C4547"/>
    <w:rsid w:val="04A61B10"/>
    <w:rsid w:val="04BC7299"/>
    <w:rsid w:val="04C848AE"/>
    <w:rsid w:val="04D34FB9"/>
    <w:rsid w:val="04E00222"/>
    <w:rsid w:val="04F01C4D"/>
    <w:rsid w:val="050D2FA0"/>
    <w:rsid w:val="0510686F"/>
    <w:rsid w:val="0532389A"/>
    <w:rsid w:val="053F4DD3"/>
    <w:rsid w:val="054434C1"/>
    <w:rsid w:val="05446D92"/>
    <w:rsid w:val="054F4C9E"/>
    <w:rsid w:val="05610779"/>
    <w:rsid w:val="057918F8"/>
    <w:rsid w:val="058237FB"/>
    <w:rsid w:val="059C7CA1"/>
    <w:rsid w:val="05B81AFA"/>
    <w:rsid w:val="05DF6B31"/>
    <w:rsid w:val="05E81449"/>
    <w:rsid w:val="05EB1CF1"/>
    <w:rsid w:val="05F22515"/>
    <w:rsid w:val="05F85569"/>
    <w:rsid w:val="0611180A"/>
    <w:rsid w:val="062005F4"/>
    <w:rsid w:val="06460198"/>
    <w:rsid w:val="06534C23"/>
    <w:rsid w:val="067458FD"/>
    <w:rsid w:val="068E29AF"/>
    <w:rsid w:val="068F5B28"/>
    <w:rsid w:val="069C624F"/>
    <w:rsid w:val="06A11CBC"/>
    <w:rsid w:val="06BC3D89"/>
    <w:rsid w:val="06C0410F"/>
    <w:rsid w:val="06C172FF"/>
    <w:rsid w:val="06C9089E"/>
    <w:rsid w:val="06CE4D2D"/>
    <w:rsid w:val="06EA202F"/>
    <w:rsid w:val="06F10528"/>
    <w:rsid w:val="06F5305E"/>
    <w:rsid w:val="06F66E00"/>
    <w:rsid w:val="06FA3115"/>
    <w:rsid w:val="070504A7"/>
    <w:rsid w:val="07077BAE"/>
    <w:rsid w:val="071F28F5"/>
    <w:rsid w:val="072D16FB"/>
    <w:rsid w:val="07416A31"/>
    <w:rsid w:val="07461DB1"/>
    <w:rsid w:val="074C25C0"/>
    <w:rsid w:val="07500DCD"/>
    <w:rsid w:val="07624D47"/>
    <w:rsid w:val="07916C2D"/>
    <w:rsid w:val="079D3853"/>
    <w:rsid w:val="07AF1912"/>
    <w:rsid w:val="07C10586"/>
    <w:rsid w:val="07C173F6"/>
    <w:rsid w:val="07C93C56"/>
    <w:rsid w:val="07EB22CD"/>
    <w:rsid w:val="07FD4489"/>
    <w:rsid w:val="08121724"/>
    <w:rsid w:val="081A275C"/>
    <w:rsid w:val="08371541"/>
    <w:rsid w:val="08473341"/>
    <w:rsid w:val="08493407"/>
    <w:rsid w:val="085956BD"/>
    <w:rsid w:val="086602AB"/>
    <w:rsid w:val="086A57CF"/>
    <w:rsid w:val="08775A31"/>
    <w:rsid w:val="087F281A"/>
    <w:rsid w:val="0889068C"/>
    <w:rsid w:val="0891749A"/>
    <w:rsid w:val="08C252E4"/>
    <w:rsid w:val="08D63648"/>
    <w:rsid w:val="08DD2C37"/>
    <w:rsid w:val="08E43457"/>
    <w:rsid w:val="08F41878"/>
    <w:rsid w:val="08FB3CDF"/>
    <w:rsid w:val="08FC5E35"/>
    <w:rsid w:val="08FF0489"/>
    <w:rsid w:val="0907156C"/>
    <w:rsid w:val="092B4F33"/>
    <w:rsid w:val="092E0C66"/>
    <w:rsid w:val="09377DBD"/>
    <w:rsid w:val="09393D57"/>
    <w:rsid w:val="098E05C4"/>
    <w:rsid w:val="098F7467"/>
    <w:rsid w:val="09A21A6A"/>
    <w:rsid w:val="09A555DD"/>
    <w:rsid w:val="09A65217"/>
    <w:rsid w:val="09B317AE"/>
    <w:rsid w:val="09BF09E1"/>
    <w:rsid w:val="09C267AE"/>
    <w:rsid w:val="09C45AC6"/>
    <w:rsid w:val="09DD30D1"/>
    <w:rsid w:val="0A052A5C"/>
    <w:rsid w:val="0A0A117C"/>
    <w:rsid w:val="0A166795"/>
    <w:rsid w:val="0A1D2353"/>
    <w:rsid w:val="0A2521A9"/>
    <w:rsid w:val="0A534963"/>
    <w:rsid w:val="0A694B94"/>
    <w:rsid w:val="0A7441C2"/>
    <w:rsid w:val="0A832BB5"/>
    <w:rsid w:val="0A834A63"/>
    <w:rsid w:val="0A963026"/>
    <w:rsid w:val="0AB950C3"/>
    <w:rsid w:val="0B09087D"/>
    <w:rsid w:val="0B0B3201"/>
    <w:rsid w:val="0B1B2FFB"/>
    <w:rsid w:val="0B1E27C3"/>
    <w:rsid w:val="0B393B13"/>
    <w:rsid w:val="0B40641E"/>
    <w:rsid w:val="0B5E0A35"/>
    <w:rsid w:val="0B5E2496"/>
    <w:rsid w:val="0B66657D"/>
    <w:rsid w:val="0B7F1CF5"/>
    <w:rsid w:val="0B882641"/>
    <w:rsid w:val="0B8D3384"/>
    <w:rsid w:val="0B923C2F"/>
    <w:rsid w:val="0B95194C"/>
    <w:rsid w:val="0BE8342A"/>
    <w:rsid w:val="0BFD3912"/>
    <w:rsid w:val="0C406879"/>
    <w:rsid w:val="0C4133ED"/>
    <w:rsid w:val="0C5A3367"/>
    <w:rsid w:val="0C656F08"/>
    <w:rsid w:val="0C6663C8"/>
    <w:rsid w:val="0C79072A"/>
    <w:rsid w:val="0C7E647C"/>
    <w:rsid w:val="0C9644A1"/>
    <w:rsid w:val="0C994F19"/>
    <w:rsid w:val="0C9F44D1"/>
    <w:rsid w:val="0CA65474"/>
    <w:rsid w:val="0CB3047E"/>
    <w:rsid w:val="0CBB37CA"/>
    <w:rsid w:val="0CC41A21"/>
    <w:rsid w:val="0CD80629"/>
    <w:rsid w:val="0CDB3F41"/>
    <w:rsid w:val="0CE2243A"/>
    <w:rsid w:val="0CE26441"/>
    <w:rsid w:val="0D134FCF"/>
    <w:rsid w:val="0D194C2A"/>
    <w:rsid w:val="0D3A40D4"/>
    <w:rsid w:val="0D44418C"/>
    <w:rsid w:val="0D465FAC"/>
    <w:rsid w:val="0D474177"/>
    <w:rsid w:val="0D4F517B"/>
    <w:rsid w:val="0D673963"/>
    <w:rsid w:val="0D723EFC"/>
    <w:rsid w:val="0D754207"/>
    <w:rsid w:val="0D8C7EBE"/>
    <w:rsid w:val="0DAD65A0"/>
    <w:rsid w:val="0DC4768F"/>
    <w:rsid w:val="0DD2310F"/>
    <w:rsid w:val="0DD97E50"/>
    <w:rsid w:val="0DDC5978"/>
    <w:rsid w:val="0DDE38C2"/>
    <w:rsid w:val="0DE20471"/>
    <w:rsid w:val="0DE72100"/>
    <w:rsid w:val="0DF05F96"/>
    <w:rsid w:val="0DF73623"/>
    <w:rsid w:val="0DFB368F"/>
    <w:rsid w:val="0E0F382B"/>
    <w:rsid w:val="0E193B41"/>
    <w:rsid w:val="0E203D16"/>
    <w:rsid w:val="0E215D8E"/>
    <w:rsid w:val="0E273E98"/>
    <w:rsid w:val="0E387478"/>
    <w:rsid w:val="0E5462E5"/>
    <w:rsid w:val="0E554A4A"/>
    <w:rsid w:val="0E60100B"/>
    <w:rsid w:val="0E605DC1"/>
    <w:rsid w:val="0E60769A"/>
    <w:rsid w:val="0E6930E6"/>
    <w:rsid w:val="0E6D2F28"/>
    <w:rsid w:val="0E83094A"/>
    <w:rsid w:val="0EC22075"/>
    <w:rsid w:val="0EED0284"/>
    <w:rsid w:val="0EF92427"/>
    <w:rsid w:val="0F0E3FDE"/>
    <w:rsid w:val="0F17188B"/>
    <w:rsid w:val="0F50536B"/>
    <w:rsid w:val="0F5F51A0"/>
    <w:rsid w:val="0F656182"/>
    <w:rsid w:val="0F6E304E"/>
    <w:rsid w:val="0F6F4388"/>
    <w:rsid w:val="0F7B0CA0"/>
    <w:rsid w:val="0F7B7E3A"/>
    <w:rsid w:val="0F7F0123"/>
    <w:rsid w:val="0F7F2DDB"/>
    <w:rsid w:val="0F836BAF"/>
    <w:rsid w:val="0F8F5DCC"/>
    <w:rsid w:val="0FAC58E3"/>
    <w:rsid w:val="0FDD4383"/>
    <w:rsid w:val="0FE06AB2"/>
    <w:rsid w:val="100B1C4C"/>
    <w:rsid w:val="1012387E"/>
    <w:rsid w:val="10182E3C"/>
    <w:rsid w:val="10234C21"/>
    <w:rsid w:val="10306671"/>
    <w:rsid w:val="10317316"/>
    <w:rsid w:val="10375D0A"/>
    <w:rsid w:val="105924EF"/>
    <w:rsid w:val="10661D0E"/>
    <w:rsid w:val="106630A4"/>
    <w:rsid w:val="10672EDD"/>
    <w:rsid w:val="10706E1D"/>
    <w:rsid w:val="109B017D"/>
    <w:rsid w:val="109C5201"/>
    <w:rsid w:val="10A9113C"/>
    <w:rsid w:val="10AA28A8"/>
    <w:rsid w:val="10B2432C"/>
    <w:rsid w:val="10B412C3"/>
    <w:rsid w:val="10E17F29"/>
    <w:rsid w:val="10E3071F"/>
    <w:rsid w:val="10E95D5B"/>
    <w:rsid w:val="10FA2DAB"/>
    <w:rsid w:val="110938A8"/>
    <w:rsid w:val="110E1C34"/>
    <w:rsid w:val="111371EB"/>
    <w:rsid w:val="112846DB"/>
    <w:rsid w:val="11284A3A"/>
    <w:rsid w:val="113E008C"/>
    <w:rsid w:val="11506318"/>
    <w:rsid w:val="11560306"/>
    <w:rsid w:val="1171571C"/>
    <w:rsid w:val="11A749B3"/>
    <w:rsid w:val="11AE0B4F"/>
    <w:rsid w:val="11BD6964"/>
    <w:rsid w:val="11CB4E66"/>
    <w:rsid w:val="11CC0CAA"/>
    <w:rsid w:val="12032F86"/>
    <w:rsid w:val="120741A6"/>
    <w:rsid w:val="12180D9F"/>
    <w:rsid w:val="121F47B4"/>
    <w:rsid w:val="12202576"/>
    <w:rsid w:val="122F3049"/>
    <w:rsid w:val="1230062F"/>
    <w:rsid w:val="1241450F"/>
    <w:rsid w:val="125B252B"/>
    <w:rsid w:val="12611176"/>
    <w:rsid w:val="12625285"/>
    <w:rsid w:val="126A34EA"/>
    <w:rsid w:val="12754653"/>
    <w:rsid w:val="12A37882"/>
    <w:rsid w:val="12BF13E5"/>
    <w:rsid w:val="12CA2BCD"/>
    <w:rsid w:val="12D9504E"/>
    <w:rsid w:val="12E54B1F"/>
    <w:rsid w:val="13094EB4"/>
    <w:rsid w:val="131C2E47"/>
    <w:rsid w:val="132E03E4"/>
    <w:rsid w:val="13433AC1"/>
    <w:rsid w:val="13474331"/>
    <w:rsid w:val="13487687"/>
    <w:rsid w:val="134E55E2"/>
    <w:rsid w:val="135B6201"/>
    <w:rsid w:val="13662B97"/>
    <w:rsid w:val="13814088"/>
    <w:rsid w:val="138738BA"/>
    <w:rsid w:val="138A5C7E"/>
    <w:rsid w:val="1397055F"/>
    <w:rsid w:val="13A215DE"/>
    <w:rsid w:val="13A848F0"/>
    <w:rsid w:val="13B03442"/>
    <w:rsid w:val="13BD4E75"/>
    <w:rsid w:val="13C663E1"/>
    <w:rsid w:val="13CF3F1C"/>
    <w:rsid w:val="13D04673"/>
    <w:rsid w:val="13D2577B"/>
    <w:rsid w:val="13FD42E5"/>
    <w:rsid w:val="140120C7"/>
    <w:rsid w:val="14057424"/>
    <w:rsid w:val="141E0A8F"/>
    <w:rsid w:val="14276979"/>
    <w:rsid w:val="142A0D0E"/>
    <w:rsid w:val="142A2FED"/>
    <w:rsid w:val="1439703C"/>
    <w:rsid w:val="143F0281"/>
    <w:rsid w:val="14647E50"/>
    <w:rsid w:val="14652D95"/>
    <w:rsid w:val="147C0C64"/>
    <w:rsid w:val="14854A37"/>
    <w:rsid w:val="149753B7"/>
    <w:rsid w:val="149F6624"/>
    <w:rsid w:val="14BE4BFE"/>
    <w:rsid w:val="14BE7EE6"/>
    <w:rsid w:val="14C53735"/>
    <w:rsid w:val="14CD21E1"/>
    <w:rsid w:val="14DD07AE"/>
    <w:rsid w:val="14FB2F2F"/>
    <w:rsid w:val="1522298A"/>
    <w:rsid w:val="152E25A8"/>
    <w:rsid w:val="15356D36"/>
    <w:rsid w:val="153F6190"/>
    <w:rsid w:val="15422128"/>
    <w:rsid w:val="155234D1"/>
    <w:rsid w:val="155B2D21"/>
    <w:rsid w:val="156F711C"/>
    <w:rsid w:val="15756A01"/>
    <w:rsid w:val="15856EAF"/>
    <w:rsid w:val="158750F0"/>
    <w:rsid w:val="15892640"/>
    <w:rsid w:val="158B0043"/>
    <w:rsid w:val="15A00FED"/>
    <w:rsid w:val="15B07D76"/>
    <w:rsid w:val="15BB66C6"/>
    <w:rsid w:val="15C55437"/>
    <w:rsid w:val="15CC2C38"/>
    <w:rsid w:val="15E27EAF"/>
    <w:rsid w:val="160455A3"/>
    <w:rsid w:val="160C0E8C"/>
    <w:rsid w:val="160C22B3"/>
    <w:rsid w:val="16120DBE"/>
    <w:rsid w:val="16317D63"/>
    <w:rsid w:val="16431747"/>
    <w:rsid w:val="164A2485"/>
    <w:rsid w:val="164C4DBD"/>
    <w:rsid w:val="16521058"/>
    <w:rsid w:val="16567CBB"/>
    <w:rsid w:val="16590692"/>
    <w:rsid w:val="165C4E41"/>
    <w:rsid w:val="166C5DED"/>
    <w:rsid w:val="16932A4C"/>
    <w:rsid w:val="16A178F9"/>
    <w:rsid w:val="16B61EC8"/>
    <w:rsid w:val="16C24F64"/>
    <w:rsid w:val="16C35C32"/>
    <w:rsid w:val="16C91B04"/>
    <w:rsid w:val="16DC7FE4"/>
    <w:rsid w:val="16E3075C"/>
    <w:rsid w:val="16F26787"/>
    <w:rsid w:val="172E3D99"/>
    <w:rsid w:val="17376D1F"/>
    <w:rsid w:val="17452F75"/>
    <w:rsid w:val="17476E1C"/>
    <w:rsid w:val="174F5BA5"/>
    <w:rsid w:val="17727994"/>
    <w:rsid w:val="17770FD7"/>
    <w:rsid w:val="178364AE"/>
    <w:rsid w:val="17933570"/>
    <w:rsid w:val="1795687A"/>
    <w:rsid w:val="17BE4AFD"/>
    <w:rsid w:val="17C57E6D"/>
    <w:rsid w:val="17D53C72"/>
    <w:rsid w:val="17D830A6"/>
    <w:rsid w:val="17E427BA"/>
    <w:rsid w:val="17E8736C"/>
    <w:rsid w:val="17EA4CD7"/>
    <w:rsid w:val="180E3E65"/>
    <w:rsid w:val="181375CC"/>
    <w:rsid w:val="18206B3B"/>
    <w:rsid w:val="183A7129"/>
    <w:rsid w:val="18413890"/>
    <w:rsid w:val="18440F1D"/>
    <w:rsid w:val="18633E0B"/>
    <w:rsid w:val="18675DBF"/>
    <w:rsid w:val="186E579D"/>
    <w:rsid w:val="18850E38"/>
    <w:rsid w:val="18874869"/>
    <w:rsid w:val="18B637F4"/>
    <w:rsid w:val="18B857BF"/>
    <w:rsid w:val="18BC5AE2"/>
    <w:rsid w:val="18BD057D"/>
    <w:rsid w:val="18C76D74"/>
    <w:rsid w:val="18C8048B"/>
    <w:rsid w:val="18D37A81"/>
    <w:rsid w:val="18D44D95"/>
    <w:rsid w:val="18EC5902"/>
    <w:rsid w:val="18EF4096"/>
    <w:rsid w:val="18F67CF4"/>
    <w:rsid w:val="19066E6E"/>
    <w:rsid w:val="19095488"/>
    <w:rsid w:val="19175566"/>
    <w:rsid w:val="191C1FBC"/>
    <w:rsid w:val="192B5AE6"/>
    <w:rsid w:val="194F390D"/>
    <w:rsid w:val="197E506D"/>
    <w:rsid w:val="197E7286"/>
    <w:rsid w:val="198C4E19"/>
    <w:rsid w:val="19925995"/>
    <w:rsid w:val="199621A6"/>
    <w:rsid w:val="19A87E3B"/>
    <w:rsid w:val="19B80CEE"/>
    <w:rsid w:val="19B908B5"/>
    <w:rsid w:val="19BA53B8"/>
    <w:rsid w:val="19BC4ACA"/>
    <w:rsid w:val="19CC4507"/>
    <w:rsid w:val="19DB0E97"/>
    <w:rsid w:val="19E200DF"/>
    <w:rsid w:val="1A2D1DD1"/>
    <w:rsid w:val="1A3F5F30"/>
    <w:rsid w:val="1A46017D"/>
    <w:rsid w:val="1A485B46"/>
    <w:rsid w:val="1A7A7449"/>
    <w:rsid w:val="1AC12DBE"/>
    <w:rsid w:val="1AC50D89"/>
    <w:rsid w:val="1AC56539"/>
    <w:rsid w:val="1AD72A2F"/>
    <w:rsid w:val="1ADA3F04"/>
    <w:rsid w:val="1ADB6817"/>
    <w:rsid w:val="1AF0685B"/>
    <w:rsid w:val="1B085F4B"/>
    <w:rsid w:val="1B152764"/>
    <w:rsid w:val="1B224061"/>
    <w:rsid w:val="1B302197"/>
    <w:rsid w:val="1B305469"/>
    <w:rsid w:val="1B3164B5"/>
    <w:rsid w:val="1B503100"/>
    <w:rsid w:val="1B705C6E"/>
    <w:rsid w:val="1B711E41"/>
    <w:rsid w:val="1B7311D4"/>
    <w:rsid w:val="1B745426"/>
    <w:rsid w:val="1B7B6A3D"/>
    <w:rsid w:val="1B9E2D51"/>
    <w:rsid w:val="1BAB2931"/>
    <w:rsid w:val="1BAC1E62"/>
    <w:rsid w:val="1BBC76FD"/>
    <w:rsid w:val="1BC17760"/>
    <w:rsid w:val="1BD110E4"/>
    <w:rsid w:val="1BD4476C"/>
    <w:rsid w:val="1BD7422C"/>
    <w:rsid w:val="1BF86E41"/>
    <w:rsid w:val="1C15463E"/>
    <w:rsid w:val="1C1B743F"/>
    <w:rsid w:val="1C1C7116"/>
    <w:rsid w:val="1C391C96"/>
    <w:rsid w:val="1C55137C"/>
    <w:rsid w:val="1C633522"/>
    <w:rsid w:val="1C742674"/>
    <w:rsid w:val="1C8C3D81"/>
    <w:rsid w:val="1C956C04"/>
    <w:rsid w:val="1CC173A7"/>
    <w:rsid w:val="1CD510F2"/>
    <w:rsid w:val="1CEA5702"/>
    <w:rsid w:val="1CEC2458"/>
    <w:rsid w:val="1D0B1647"/>
    <w:rsid w:val="1D0D0AC6"/>
    <w:rsid w:val="1D10265E"/>
    <w:rsid w:val="1D25257B"/>
    <w:rsid w:val="1D2C63F9"/>
    <w:rsid w:val="1D3B7EB2"/>
    <w:rsid w:val="1D6267FB"/>
    <w:rsid w:val="1DAB0176"/>
    <w:rsid w:val="1DBD744C"/>
    <w:rsid w:val="1DCD13C3"/>
    <w:rsid w:val="1DCF5DED"/>
    <w:rsid w:val="1DD1284A"/>
    <w:rsid w:val="1DD1644D"/>
    <w:rsid w:val="1DEE3DA3"/>
    <w:rsid w:val="1DF175CE"/>
    <w:rsid w:val="1DFA273D"/>
    <w:rsid w:val="1E134184"/>
    <w:rsid w:val="1E1B735E"/>
    <w:rsid w:val="1E3C3DD2"/>
    <w:rsid w:val="1E4F506F"/>
    <w:rsid w:val="1E683370"/>
    <w:rsid w:val="1E785641"/>
    <w:rsid w:val="1E8F76AA"/>
    <w:rsid w:val="1E920708"/>
    <w:rsid w:val="1E9214D8"/>
    <w:rsid w:val="1E9716CF"/>
    <w:rsid w:val="1ECF2F2B"/>
    <w:rsid w:val="1ED04DF4"/>
    <w:rsid w:val="1ED41590"/>
    <w:rsid w:val="1EDA7BB1"/>
    <w:rsid w:val="1EDF3FBF"/>
    <w:rsid w:val="1EF220FF"/>
    <w:rsid w:val="1EF37A31"/>
    <w:rsid w:val="1F0478C4"/>
    <w:rsid w:val="1F1A6119"/>
    <w:rsid w:val="1F2E29DC"/>
    <w:rsid w:val="1F3D3B7D"/>
    <w:rsid w:val="1F451142"/>
    <w:rsid w:val="1F453EB9"/>
    <w:rsid w:val="1F4C5585"/>
    <w:rsid w:val="1F5A548F"/>
    <w:rsid w:val="1F663529"/>
    <w:rsid w:val="1F702147"/>
    <w:rsid w:val="1F72179B"/>
    <w:rsid w:val="1F792794"/>
    <w:rsid w:val="1F82405C"/>
    <w:rsid w:val="1FA421AD"/>
    <w:rsid w:val="1FAB3F90"/>
    <w:rsid w:val="1FB07E0E"/>
    <w:rsid w:val="1FBB0D86"/>
    <w:rsid w:val="1FBC69D9"/>
    <w:rsid w:val="1FCD6D7D"/>
    <w:rsid w:val="1FD239EA"/>
    <w:rsid w:val="1FD542F7"/>
    <w:rsid w:val="1FED03CB"/>
    <w:rsid w:val="1FF17C5A"/>
    <w:rsid w:val="200F3EA2"/>
    <w:rsid w:val="201261C1"/>
    <w:rsid w:val="201C0928"/>
    <w:rsid w:val="201E4C48"/>
    <w:rsid w:val="20322561"/>
    <w:rsid w:val="20360A29"/>
    <w:rsid w:val="203966B0"/>
    <w:rsid w:val="20433202"/>
    <w:rsid w:val="205F522E"/>
    <w:rsid w:val="20687E1B"/>
    <w:rsid w:val="206C10B9"/>
    <w:rsid w:val="206C2CCD"/>
    <w:rsid w:val="20715254"/>
    <w:rsid w:val="20734944"/>
    <w:rsid w:val="209B17E4"/>
    <w:rsid w:val="20B02C8F"/>
    <w:rsid w:val="20CD7F77"/>
    <w:rsid w:val="20E7243A"/>
    <w:rsid w:val="211B6965"/>
    <w:rsid w:val="21231AE2"/>
    <w:rsid w:val="212C0BE2"/>
    <w:rsid w:val="214D3B38"/>
    <w:rsid w:val="214D781F"/>
    <w:rsid w:val="215C05B3"/>
    <w:rsid w:val="21603C88"/>
    <w:rsid w:val="216063CD"/>
    <w:rsid w:val="2162433A"/>
    <w:rsid w:val="21655C3D"/>
    <w:rsid w:val="218241A8"/>
    <w:rsid w:val="21874B41"/>
    <w:rsid w:val="21A458A9"/>
    <w:rsid w:val="21CD49F3"/>
    <w:rsid w:val="21D535A6"/>
    <w:rsid w:val="21F228F0"/>
    <w:rsid w:val="21FD2E0B"/>
    <w:rsid w:val="22126734"/>
    <w:rsid w:val="222F0BE3"/>
    <w:rsid w:val="225A2596"/>
    <w:rsid w:val="2260594E"/>
    <w:rsid w:val="228A364E"/>
    <w:rsid w:val="22E677DE"/>
    <w:rsid w:val="22ED0BF0"/>
    <w:rsid w:val="22F161A7"/>
    <w:rsid w:val="2303142E"/>
    <w:rsid w:val="230F0883"/>
    <w:rsid w:val="231F3CB9"/>
    <w:rsid w:val="2327471A"/>
    <w:rsid w:val="233B2DA8"/>
    <w:rsid w:val="234F7423"/>
    <w:rsid w:val="236477F5"/>
    <w:rsid w:val="23773420"/>
    <w:rsid w:val="23A75AAB"/>
    <w:rsid w:val="23BC3BD3"/>
    <w:rsid w:val="23BC6F42"/>
    <w:rsid w:val="23BF152A"/>
    <w:rsid w:val="23CA1ADC"/>
    <w:rsid w:val="23DB1218"/>
    <w:rsid w:val="23DF73B0"/>
    <w:rsid w:val="23F06E61"/>
    <w:rsid w:val="24011398"/>
    <w:rsid w:val="24040A8E"/>
    <w:rsid w:val="24092B79"/>
    <w:rsid w:val="24224E31"/>
    <w:rsid w:val="24412736"/>
    <w:rsid w:val="24490822"/>
    <w:rsid w:val="245F67FB"/>
    <w:rsid w:val="24684D63"/>
    <w:rsid w:val="24811DA6"/>
    <w:rsid w:val="24886714"/>
    <w:rsid w:val="24927423"/>
    <w:rsid w:val="24950599"/>
    <w:rsid w:val="249A48B1"/>
    <w:rsid w:val="24A160C3"/>
    <w:rsid w:val="24AA3222"/>
    <w:rsid w:val="24CA316D"/>
    <w:rsid w:val="24CC1BED"/>
    <w:rsid w:val="24D726CE"/>
    <w:rsid w:val="24DA7275"/>
    <w:rsid w:val="24DB46DF"/>
    <w:rsid w:val="24E605F0"/>
    <w:rsid w:val="250641F2"/>
    <w:rsid w:val="25216EC7"/>
    <w:rsid w:val="252C665F"/>
    <w:rsid w:val="254A3715"/>
    <w:rsid w:val="257056AB"/>
    <w:rsid w:val="25AC18BD"/>
    <w:rsid w:val="25BB2B06"/>
    <w:rsid w:val="25CF375D"/>
    <w:rsid w:val="25DE3AB1"/>
    <w:rsid w:val="25E95F23"/>
    <w:rsid w:val="25EA5A92"/>
    <w:rsid w:val="26144E9A"/>
    <w:rsid w:val="262E07FB"/>
    <w:rsid w:val="264F5B95"/>
    <w:rsid w:val="265759B6"/>
    <w:rsid w:val="26623E92"/>
    <w:rsid w:val="26642CF7"/>
    <w:rsid w:val="26645807"/>
    <w:rsid w:val="267B6EBF"/>
    <w:rsid w:val="26806EFA"/>
    <w:rsid w:val="26A230B1"/>
    <w:rsid w:val="26AD4749"/>
    <w:rsid w:val="26F21DE5"/>
    <w:rsid w:val="26F63138"/>
    <w:rsid w:val="270B441A"/>
    <w:rsid w:val="271F4715"/>
    <w:rsid w:val="273C0E10"/>
    <w:rsid w:val="274B5BC5"/>
    <w:rsid w:val="2751170D"/>
    <w:rsid w:val="2758442B"/>
    <w:rsid w:val="27704D86"/>
    <w:rsid w:val="27774B88"/>
    <w:rsid w:val="27795B97"/>
    <w:rsid w:val="277B714A"/>
    <w:rsid w:val="27B31480"/>
    <w:rsid w:val="27B33EE1"/>
    <w:rsid w:val="27CE7081"/>
    <w:rsid w:val="27EC0574"/>
    <w:rsid w:val="27F53ABA"/>
    <w:rsid w:val="27F75BA3"/>
    <w:rsid w:val="280E3B3C"/>
    <w:rsid w:val="281153D3"/>
    <w:rsid w:val="28212AC7"/>
    <w:rsid w:val="28302AB3"/>
    <w:rsid w:val="28334952"/>
    <w:rsid w:val="28374989"/>
    <w:rsid w:val="284648FF"/>
    <w:rsid w:val="28507C30"/>
    <w:rsid w:val="285209CE"/>
    <w:rsid w:val="287D15AD"/>
    <w:rsid w:val="28803FFB"/>
    <w:rsid w:val="288D7EED"/>
    <w:rsid w:val="289F1A5A"/>
    <w:rsid w:val="28A07B2D"/>
    <w:rsid w:val="28A42B39"/>
    <w:rsid w:val="28A66454"/>
    <w:rsid w:val="28BD379C"/>
    <w:rsid w:val="28C6610A"/>
    <w:rsid w:val="28DA56D0"/>
    <w:rsid w:val="28E1165E"/>
    <w:rsid w:val="29144D72"/>
    <w:rsid w:val="292F31C5"/>
    <w:rsid w:val="292F3D53"/>
    <w:rsid w:val="293272CB"/>
    <w:rsid w:val="293B12F8"/>
    <w:rsid w:val="29492D54"/>
    <w:rsid w:val="2952289F"/>
    <w:rsid w:val="295F642F"/>
    <w:rsid w:val="2972343A"/>
    <w:rsid w:val="29756A4F"/>
    <w:rsid w:val="29810742"/>
    <w:rsid w:val="298F0D16"/>
    <w:rsid w:val="29973551"/>
    <w:rsid w:val="29A7542C"/>
    <w:rsid w:val="29B03A5A"/>
    <w:rsid w:val="29B23434"/>
    <w:rsid w:val="29C11BC0"/>
    <w:rsid w:val="2A012AE4"/>
    <w:rsid w:val="2A023FB7"/>
    <w:rsid w:val="2A316CED"/>
    <w:rsid w:val="2A356DED"/>
    <w:rsid w:val="2A4F36E5"/>
    <w:rsid w:val="2A5F0FC4"/>
    <w:rsid w:val="2A702489"/>
    <w:rsid w:val="2A785BF6"/>
    <w:rsid w:val="2A797D21"/>
    <w:rsid w:val="2A890EBB"/>
    <w:rsid w:val="2A955602"/>
    <w:rsid w:val="2A9E3BB8"/>
    <w:rsid w:val="2AA44F34"/>
    <w:rsid w:val="2AB71FDF"/>
    <w:rsid w:val="2ABD0399"/>
    <w:rsid w:val="2AE62BEF"/>
    <w:rsid w:val="2B193A6E"/>
    <w:rsid w:val="2B3E3501"/>
    <w:rsid w:val="2B657DA5"/>
    <w:rsid w:val="2B883E6D"/>
    <w:rsid w:val="2B9D49A4"/>
    <w:rsid w:val="2BC86FA7"/>
    <w:rsid w:val="2BD33F07"/>
    <w:rsid w:val="2BE73CB9"/>
    <w:rsid w:val="2BF856B6"/>
    <w:rsid w:val="2BF904CA"/>
    <w:rsid w:val="2BF96277"/>
    <w:rsid w:val="2C0038E5"/>
    <w:rsid w:val="2C0A029A"/>
    <w:rsid w:val="2C0B438A"/>
    <w:rsid w:val="2C247F6E"/>
    <w:rsid w:val="2C2D515B"/>
    <w:rsid w:val="2C432E54"/>
    <w:rsid w:val="2C436634"/>
    <w:rsid w:val="2C5D16A0"/>
    <w:rsid w:val="2C757994"/>
    <w:rsid w:val="2C8421B8"/>
    <w:rsid w:val="2C8828DB"/>
    <w:rsid w:val="2C8D6960"/>
    <w:rsid w:val="2C9C7208"/>
    <w:rsid w:val="2CA9512C"/>
    <w:rsid w:val="2CAE2C7F"/>
    <w:rsid w:val="2CB27059"/>
    <w:rsid w:val="2CB81F99"/>
    <w:rsid w:val="2CC80CF2"/>
    <w:rsid w:val="2CCD07BC"/>
    <w:rsid w:val="2CEC0715"/>
    <w:rsid w:val="2D2E65E5"/>
    <w:rsid w:val="2D372DDE"/>
    <w:rsid w:val="2D4D7B4A"/>
    <w:rsid w:val="2D506898"/>
    <w:rsid w:val="2D7B45A6"/>
    <w:rsid w:val="2D9F61F4"/>
    <w:rsid w:val="2DAA0A84"/>
    <w:rsid w:val="2DB93F77"/>
    <w:rsid w:val="2DBE452D"/>
    <w:rsid w:val="2DC47A5C"/>
    <w:rsid w:val="2DC93D00"/>
    <w:rsid w:val="2DD86DAC"/>
    <w:rsid w:val="2DEC3476"/>
    <w:rsid w:val="2E030036"/>
    <w:rsid w:val="2E131CA0"/>
    <w:rsid w:val="2E3A13B9"/>
    <w:rsid w:val="2E3F787D"/>
    <w:rsid w:val="2E5527AD"/>
    <w:rsid w:val="2E557C62"/>
    <w:rsid w:val="2E720639"/>
    <w:rsid w:val="2E7F736F"/>
    <w:rsid w:val="2E8C5CD4"/>
    <w:rsid w:val="2E9B283F"/>
    <w:rsid w:val="2EA26280"/>
    <w:rsid w:val="2EA8209A"/>
    <w:rsid w:val="2EA85E93"/>
    <w:rsid w:val="2EAE1BD2"/>
    <w:rsid w:val="2EB709D1"/>
    <w:rsid w:val="2EB771DC"/>
    <w:rsid w:val="2EBA14DF"/>
    <w:rsid w:val="2ECB7666"/>
    <w:rsid w:val="2ECD0A67"/>
    <w:rsid w:val="2ED13C8E"/>
    <w:rsid w:val="2EE423FD"/>
    <w:rsid w:val="2EE96A25"/>
    <w:rsid w:val="2EFA209C"/>
    <w:rsid w:val="2F0D0ACC"/>
    <w:rsid w:val="2F0D2A53"/>
    <w:rsid w:val="2F0F7823"/>
    <w:rsid w:val="2F141AB0"/>
    <w:rsid w:val="2F1F14A6"/>
    <w:rsid w:val="2F326770"/>
    <w:rsid w:val="2F3A244F"/>
    <w:rsid w:val="2F587949"/>
    <w:rsid w:val="2F6633FB"/>
    <w:rsid w:val="2F6F7F8D"/>
    <w:rsid w:val="2F711EB3"/>
    <w:rsid w:val="2F8070FC"/>
    <w:rsid w:val="2F822A48"/>
    <w:rsid w:val="2F830AC3"/>
    <w:rsid w:val="2F852C28"/>
    <w:rsid w:val="2FB2709F"/>
    <w:rsid w:val="2FB9298C"/>
    <w:rsid w:val="2FBF43A0"/>
    <w:rsid w:val="2FC024F4"/>
    <w:rsid w:val="2FF274D3"/>
    <w:rsid w:val="2FFF356D"/>
    <w:rsid w:val="300C6ADB"/>
    <w:rsid w:val="30143506"/>
    <w:rsid w:val="301F691E"/>
    <w:rsid w:val="302468C0"/>
    <w:rsid w:val="30295D4C"/>
    <w:rsid w:val="303A030A"/>
    <w:rsid w:val="30450DEE"/>
    <w:rsid w:val="304E673E"/>
    <w:rsid w:val="3058516E"/>
    <w:rsid w:val="305D1706"/>
    <w:rsid w:val="306C31F2"/>
    <w:rsid w:val="307B6332"/>
    <w:rsid w:val="307F372C"/>
    <w:rsid w:val="307F39CB"/>
    <w:rsid w:val="3081637F"/>
    <w:rsid w:val="308B5654"/>
    <w:rsid w:val="308F5B8F"/>
    <w:rsid w:val="30951FC4"/>
    <w:rsid w:val="30967309"/>
    <w:rsid w:val="309C2714"/>
    <w:rsid w:val="30B47468"/>
    <w:rsid w:val="30C14EA5"/>
    <w:rsid w:val="30D05B04"/>
    <w:rsid w:val="30D067ED"/>
    <w:rsid w:val="30D17696"/>
    <w:rsid w:val="30D702A2"/>
    <w:rsid w:val="310033E8"/>
    <w:rsid w:val="3127587F"/>
    <w:rsid w:val="312A2C5E"/>
    <w:rsid w:val="313F2EF2"/>
    <w:rsid w:val="314D02B8"/>
    <w:rsid w:val="31604A30"/>
    <w:rsid w:val="31644A2A"/>
    <w:rsid w:val="316D5FB6"/>
    <w:rsid w:val="317829AF"/>
    <w:rsid w:val="319021E5"/>
    <w:rsid w:val="31983845"/>
    <w:rsid w:val="319F740D"/>
    <w:rsid w:val="31C168F8"/>
    <w:rsid w:val="31CD08CD"/>
    <w:rsid w:val="31D77BDC"/>
    <w:rsid w:val="31E6492E"/>
    <w:rsid w:val="31FB5277"/>
    <w:rsid w:val="320051F1"/>
    <w:rsid w:val="32011429"/>
    <w:rsid w:val="320412A2"/>
    <w:rsid w:val="3206185C"/>
    <w:rsid w:val="320665B6"/>
    <w:rsid w:val="320B6721"/>
    <w:rsid w:val="322303E4"/>
    <w:rsid w:val="323640BD"/>
    <w:rsid w:val="324713DA"/>
    <w:rsid w:val="32574B4C"/>
    <w:rsid w:val="326A51F3"/>
    <w:rsid w:val="32781D3B"/>
    <w:rsid w:val="327A06BB"/>
    <w:rsid w:val="327E71CA"/>
    <w:rsid w:val="32AA6E5C"/>
    <w:rsid w:val="32AF7DA8"/>
    <w:rsid w:val="32ED49C4"/>
    <w:rsid w:val="32ED7835"/>
    <w:rsid w:val="330E49EC"/>
    <w:rsid w:val="330F2305"/>
    <w:rsid w:val="331D5C64"/>
    <w:rsid w:val="33213B84"/>
    <w:rsid w:val="33266712"/>
    <w:rsid w:val="332B3D98"/>
    <w:rsid w:val="3330206F"/>
    <w:rsid w:val="3340515D"/>
    <w:rsid w:val="334224E4"/>
    <w:rsid w:val="33533C47"/>
    <w:rsid w:val="336440BA"/>
    <w:rsid w:val="336A7F38"/>
    <w:rsid w:val="336F6605"/>
    <w:rsid w:val="33706B52"/>
    <w:rsid w:val="33744005"/>
    <w:rsid w:val="339509DC"/>
    <w:rsid w:val="339A3403"/>
    <w:rsid w:val="33A40C9A"/>
    <w:rsid w:val="33A6119A"/>
    <w:rsid w:val="33D06E2A"/>
    <w:rsid w:val="33D92C29"/>
    <w:rsid w:val="33E00D73"/>
    <w:rsid w:val="33EA7FF4"/>
    <w:rsid w:val="33F44CD7"/>
    <w:rsid w:val="34107E52"/>
    <w:rsid w:val="34165682"/>
    <w:rsid w:val="34176D93"/>
    <w:rsid w:val="342158A2"/>
    <w:rsid w:val="342F2670"/>
    <w:rsid w:val="34567432"/>
    <w:rsid w:val="345D50FF"/>
    <w:rsid w:val="3461217F"/>
    <w:rsid w:val="348C414C"/>
    <w:rsid w:val="34945CB0"/>
    <w:rsid w:val="34A642EE"/>
    <w:rsid w:val="34AB5C08"/>
    <w:rsid w:val="34AD016B"/>
    <w:rsid w:val="34B85BA9"/>
    <w:rsid w:val="34CE27DC"/>
    <w:rsid w:val="34DD17B4"/>
    <w:rsid w:val="34E95E55"/>
    <w:rsid w:val="35127DC6"/>
    <w:rsid w:val="35395467"/>
    <w:rsid w:val="35514DA9"/>
    <w:rsid w:val="35536E47"/>
    <w:rsid w:val="35916140"/>
    <w:rsid w:val="35A30A4C"/>
    <w:rsid w:val="35A508A8"/>
    <w:rsid w:val="35BA2B7A"/>
    <w:rsid w:val="35D45AD1"/>
    <w:rsid w:val="35DF3CFA"/>
    <w:rsid w:val="35E771C0"/>
    <w:rsid w:val="35F67FAA"/>
    <w:rsid w:val="35F9667B"/>
    <w:rsid w:val="360755E0"/>
    <w:rsid w:val="362476AE"/>
    <w:rsid w:val="36307F92"/>
    <w:rsid w:val="36385060"/>
    <w:rsid w:val="3639034D"/>
    <w:rsid w:val="363C6C4E"/>
    <w:rsid w:val="36405D2C"/>
    <w:rsid w:val="364939E8"/>
    <w:rsid w:val="3666637B"/>
    <w:rsid w:val="36A75EDE"/>
    <w:rsid w:val="36AC4B1B"/>
    <w:rsid w:val="36AF484B"/>
    <w:rsid w:val="36B30E63"/>
    <w:rsid w:val="36B66AFB"/>
    <w:rsid w:val="36BD5D6A"/>
    <w:rsid w:val="36CE3561"/>
    <w:rsid w:val="36D80171"/>
    <w:rsid w:val="36F748A9"/>
    <w:rsid w:val="36FD3B95"/>
    <w:rsid w:val="36FE72FC"/>
    <w:rsid w:val="370D6EBD"/>
    <w:rsid w:val="371B6DC0"/>
    <w:rsid w:val="3723426C"/>
    <w:rsid w:val="37346CD2"/>
    <w:rsid w:val="373B13EB"/>
    <w:rsid w:val="374843CA"/>
    <w:rsid w:val="37531260"/>
    <w:rsid w:val="377964A5"/>
    <w:rsid w:val="3789377C"/>
    <w:rsid w:val="379D7A53"/>
    <w:rsid w:val="37A705A8"/>
    <w:rsid w:val="37B43E49"/>
    <w:rsid w:val="37C12D9B"/>
    <w:rsid w:val="37CF0C12"/>
    <w:rsid w:val="37DB6656"/>
    <w:rsid w:val="37E4206C"/>
    <w:rsid w:val="37F365AF"/>
    <w:rsid w:val="38126B45"/>
    <w:rsid w:val="382B4587"/>
    <w:rsid w:val="38380CEE"/>
    <w:rsid w:val="383E19F0"/>
    <w:rsid w:val="38671F94"/>
    <w:rsid w:val="38B247CB"/>
    <w:rsid w:val="39115A31"/>
    <w:rsid w:val="3919434E"/>
    <w:rsid w:val="391B6D03"/>
    <w:rsid w:val="39261B4B"/>
    <w:rsid w:val="393A4C2B"/>
    <w:rsid w:val="395D1E6A"/>
    <w:rsid w:val="39AB66B8"/>
    <w:rsid w:val="39B22D0F"/>
    <w:rsid w:val="39D5128C"/>
    <w:rsid w:val="39D75C75"/>
    <w:rsid w:val="39DC7D20"/>
    <w:rsid w:val="39ED7BF8"/>
    <w:rsid w:val="3A014739"/>
    <w:rsid w:val="3A2D3DB7"/>
    <w:rsid w:val="3A5870C9"/>
    <w:rsid w:val="3A6B139C"/>
    <w:rsid w:val="3A843435"/>
    <w:rsid w:val="3A97547F"/>
    <w:rsid w:val="3AA26B9B"/>
    <w:rsid w:val="3AAC2A6E"/>
    <w:rsid w:val="3AB777ED"/>
    <w:rsid w:val="3AC71F1A"/>
    <w:rsid w:val="3ACF2091"/>
    <w:rsid w:val="3AD07411"/>
    <w:rsid w:val="3ADA6D50"/>
    <w:rsid w:val="3AEF456A"/>
    <w:rsid w:val="3AF60D4D"/>
    <w:rsid w:val="3B25313A"/>
    <w:rsid w:val="3B2B4BE0"/>
    <w:rsid w:val="3B52474C"/>
    <w:rsid w:val="3B530AB0"/>
    <w:rsid w:val="3B565177"/>
    <w:rsid w:val="3B715546"/>
    <w:rsid w:val="3B8219A3"/>
    <w:rsid w:val="3B84178A"/>
    <w:rsid w:val="3B8604C0"/>
    <w:rsid w:val="3BBB6503"/>
    <w:rsid w:val="3BC0713D"/>
    <w:rsid w:val="3BC65DA2"/>
    <w:rsid w:val="3BDC48F9"/>
    <w:rsid w:val="3C135A97"/>
    <w:rsid w:val="3C34394C"/>
    <w:rsid w:val="3C350226"/>
    <w:rsid w:val="3C3C15A1"/>
    <w:rsid w:val="3C3D79A0"/>
    <w:rsid w:val="3C53206B"/>
    <w:rsid w:val="3C5901F1"/>
    <w:rsid w:val="3C6D1BEC"/>
    <w:rsid w:val="3C72398D"/>
    <w:rsid w:val="3C7C2DB1"/>
    <w:rsid w:val="3C8C717B"/>
    <w:rsid w:val="3C8D7C2A"/>
    <w:rsid w:val="3CA92087"/>
    <w:rsid w:val="3CAE1150"/>
    <w:rsid w:val="3CBD09D3"/>
    <w:rsid w:val="3CBD33FD"/>
    <w:rsid w:val="3CD8433F"/>
    <w:rsid w:val="3D07634D"/>
    <w:rsid w:val="3D1C078D"/>
    <w:rsid w:val="3D201716"/>
    <w:rsid w:val="3D22675E"/>
    <w:rsid w:val="3D2660B3"/>
    <w:rsid w:val="3D2B30F9"/>
    <w:rsid w:val="3D2B3F8D"/>
    <w:rsid w:val="3D3C18B7"/>
    <w:rsid w:val="3D406123"/>
    <w:rsid w:val="3D4B7EE2"/>
    <w:rsid w:val="3D5C1FA1"/>
    <w:rsid w:val="3D8258AE"/>
    <w:rsid w:val="3D876846"/>
    <w:rsid w:val="3D8E651C"/>
    <w:rsid w:val="3D9D5038"/>
    <w:rsid w:val="3D9E16CA"/>
    <w:rsid w:val="3DA32141"/>
    <w:rsid w:val="3DAA4146"/>
    <w:rsid w:val="3DC77DF7"/>
    <w:rsid w:val="3DE7275D"/>
    <w:rsid w:val="3DF70E8B"/>
    <w:rsid w:val="3DFC585D"/>
    <w:rsid w:val="3DFD1C07"/>
    <w:rsid w:val="3DFF74E9"/>
    <w:rsid w:val="3E020613"/>
    <w:rsid w:val="3E0638BB"/>
    <w:rsid w:val="3E3269F5"/>
    <w:rsid w:val="3E3B2C51"/>
    <w:rsid w:val="3E3C0659"/>
    <w:rsid w:val="3E581FB8"/>
    <w:rsid w:val="3E5B0456"/>
    <w:rsid w:val="3E641183"/>
    <w:rsid w:val="3E680F84"/>
    <w:rsid w:val="3EC010E7"/>
    <w:rsid w:val="3ED021CD"/>
    <w:rsid w:val="3ED234DC"/>
    <w:rsid w:val="3EEA14AF"/>
    <w:rsid w:val="3EF63F3D"/>
    <w:rsid w:val="3EF66AEA"/>
    <w:rsid w:val="3F10347D"/>
    <w:rsid w:val="3F154205"/>
    <w:rsid w:val="3F274150"/>
    <w:rsid w:val="3F2F07CB"/>
    <w:rsid w:val="3F3D4C9E"/>
    <w:rsid w:val="3F5E675A"/>
    <w:rsid w:val="3F6F3828"/>
    <w:rsid w:val="3F89330B"/>
    <w:rsid w:val="3F9C2E83"/>
    <w:rsid w:val="3FB71C09"/>
    <w:rsid w:val="3FBE6089"/>
    <w:rsid w:val="3FC33691"/>
    <w:rsid w:val="3FC97238"/>
    <w:rsid w:val="3FD21411"/>
    <w:rsid w:val="3FDA039F"/>
    <w:rsid w:val="3FE455A2"/>
    <w:rsid w:val="3FED6D10"/>
    <w:rsid w:val="3FF57F6C"/>
    <w:rsid w:val="40087AF8"/>
    <w:rsid w:val="400F4CE3"/>
    <w:rsid w:val="401658CA"/>
    <w:rsid w:val="40250E0B"/>
    <w:rsid w:val="404B6E64"/>
    <w:rsid w:val="405B39A4"/>
    <w:rsid w:val="405D23F0"/>
    <w:rsid w:val="4088090F"/>
    <w:rsid w:val="408B4291"/>
    <w:rsid w:val="409B7B78"/>
    <w:rsid w:val="40A50F1B"/>
    <w:rsid w:val="40B53397"/>
    <w:rsid w:val="40E21AE5"/>
    <w:rsid w:val="40FA0A8F"/>
    <w:rsid w:val="40FB2BD9"/>
    <w:rsid w:val="40FD3F79"/>
    <w:rsid w:val="411659D0"/>
    <w:rsid w:val="411B3E05"/>
    <w:rsid w:val="413E38E0"/>
    <w:rsid w:val="414E6F87"/>
    <w:rsid w:val="414F29C0"/>
    <w:rsid w:val="41686C6F"/>
    <w:rsid w:val="41872240"/>
    <w:rsid w:val="41B9335F"/>
    <w:rsid w:val="41B93E4A"/>
    <w:rsid w:val="41C22F87"/>
    <w:rsid w:val="41F92962"/>
    <w:rsid w:val="42023682"/>
    <w:rsid w:val="42164862"/>
    <w:rsid w:val="423C2D3E"/>
    <w:rsid w:val="424060FB"/>
    <w:rsid w:val="424B3179"/>
    <w:rsid w:val="42502981"/>
    <w:rsid w:val="42596851"/>
    <w:rsid w:val="4261198A"/>
    <w:rsid w:val="42623EBB"/>
    <w:rsid w:val="426601B9"/>
    <w:rsid w:val="42886BB7"/>
    <w:rsid w:val="429336CB"/>
    <w:rsid w:val="42B71892"/>
    <w:rsid w:val="42BA2059"/>
    <w:rsid w:val="42E67A56"/>
    <w:rsid w:val="42F27EF1"/>
    <w:rsid w:val="42F3795C"/>
    <w:rsid w:val="42F5740C"/>
    <w:rsid w:val="42FC5656"/>
    <w:rsid w:val="43034957"/>
    <w:rsid w:val="43090DC1"/>
    <w:rsid w:val="430B61F8"/>
    <w:rsid w:val="431D3D70"/>
    <w:rsid w:val="432879E1"/>
    <w:rsid w:val="43294B02"/>
    <w:rsid w:val="432C26B4"/>
    <w:rsid w:val="432F7831"/>
    <w:rsid w:val="4342656C"/>
    <w:rsid w:val="43476410"/>
    <w:rsid w:val="434F469D"/>
    <w:rsid w:val="438C318C"/>
    <w:rsid w:val="43A1423E"/>
    <w:rsid w:val="43B16BD8"/>
    <w:rsid w:val="43B34606"/>
    <w:rsid w:val="43B84746"/>
    <w:rsid w:val="43BC681E"/>
    <w:rsid w:val="43BE08F0"/>
    <w:rsid w:val="43D56190"/>
    <w:rsid w:val="43DB3564"/>
    <w:rsid w:val="441842F5"/>
    <w:rsid w:val="4431171C"/>
    <w:rsid w:val="4431210D"/>
    <w:rsid w:val="444C0952"/>
    <w:rsid w:val="44562A63"/>
    <w:rsid w:val="445723AA"/>
    <w:rsid w:val="44690412"/>
    <w:rsid w:val="44765D5B"/>
    <w:rsid w:val="447D257A"/>
    <w:rsid w:val="4480072E"/>
    <w:rsid w:val="449206D0"/>
    <w:rsid w:val="44A900C6"/>
    <w:rsid w:val="44AB4308"/>
    <w:rsid w:val="44B02B9F"/>
    <w:rsid w:val="44B21324"/>
    <w:rsid w:val="44B25A80"/>
    <w:rsid w:val="44C10197"/>
    <w:rsid w:val="44D67A34"/>
    <w:rsid w:val="44DF4CF6"/>
    <w:rsid w:val="450C465B"/>
    <w:rsid w:val="453809E4"/>
    <w:rsid w:val="453E3A55"/>
    <w:rsid w:val="45495F9F"/>
    <w:rsid w:val="454B32C1"/>
    <w:rsid w:val="455D0973"/>
    <w:rsid w:val="456E18C2"/>
    <w:rsid w:val="45A07AC7"/>
    <w:rsid w:val="45A62A1E"/>
    <w:rsid w:val="45A941FE"/>
    <w:rsid w:val="45DD58B7"/>
    <w:rsid w:val="45F00E64"/>
    <w:rsid w:val="45FD7438"/>
    <w:rsid w:val="4619547C"/>
    <w:rsid w:val="462E109C"/>
    <w:rsid w:val="46345166"/>
    <w:rsid w:val="464E593B"/>
    <w:rsid w:val="465A10A0"/>
    <w:rsid w:val="465E5C08"/>
    <w:rsid w:val="46621FED"/>
    <w:rsid w:val="46766F02"/>
    <w:rsid w:val="467B26EB"/>
    <w:rsid w:val="46854C43"/>
    <w:rsid w:val="468740B9"/>
    <w:rsid w:val="46920F00"/>
    <w:rsid w:val="46922F16"/>
    <w:rsid w:val="469B10B5"/>
    <w:rsid w:val="469C0CCC"/>
    <w:rsid w:val="46A161C3"/>
    <w:rsid w:val="46A97669"/>
    <w:rsid w:val="46B32455"/>
    <w:rsid w:val="46C83B8B"/>
    <w:rsid w:val="46E431F7"/>
    <w:rsid w:val="46EB7550"/>
    <w:rsid w:val="46FB7B76"/>
    <w:rsid w:val="4709086A"/>
    <w:rsid w:val="47140049"/>
    <w:rsid w:val="47151D9C"/>
    <w:rsid w:val="471C4009"/>
    <w:rsid w:val="47235F7E"/>
    <w:rsid w:val="47437F97"/>
    <w:rsid w:val="47814EA1"/>
    <w:rsid w:val="478443DB"/>
    <w:rsid w:val="479971F6"/>
    <w:rsid w:val="47A16F18"/>
    <w:rsid w:val="47B952BC"/>
    <w:rsid w:val="47FA3B01"/>
    <w:rsid w:val="48150B82"/>
    <w:rsid w:val="48170E21"/>
    <w:rsid w:val="48363E0C"/>
    <w:rsid w:val="48447F12"/>
    <w:rsid w:val="48943C6C"/>
    <w:rsid w:val="48AB17C7"/>
    <w:rsid w:val="48C434C7"/>
    <w:rsid w:val="48D37153"/>
    <w:rsid w:val="48D6105A"/>
    <w:rsid w:val="48DB6F82"/>
    <w:rsid w:val="48E06DE8"/>
    <w:rsid w:val="48E80C01"/>
    <w:rsid w:val="48EC1E00"/>
    <w:rsid w:val="48F522E4"/>
    <w:rsid w:val="48FB74C0"/>
    <w:rsid w:val="490E2CA0"/>
    <w:rsid w:val="49433E74"/>
    <w:rsid w:val="49470C51"/>
    <w:rsid w:val="495C566C"/>
    <w:rsid w:val="4967496D"/>
    <w:rsid w:val="497247B3"/>
    <w:rsid w:val="49771CB4"/>
    <w:rsid w:val="497D00FD"/>
    <w:rsid w:val="4997011C"/>
    <w:rsid w:val="499742BE"/>
    <w:rsid w:val="49A50B2B"/>
    <w:rsid w:val="49A909B4"/>
    <w:rsid w:val="49B60B72"/>
    <w:rsid w:val="49D00A1F"/>
    <w:rsid w:val="49DE7896"/>
    <w:rsid w:val="49DF6D8E"/>
    <w:rsid w:val="49FB5F8E"/>
    <w:rsid w:val="4A0803D7"/>
    <w:rsid w:val="4A1B12ED"/>
    <w:rsid w:val="4A234A1A"/>
    <w:rsid w:val="4A240803"/>
    <w:rsid w:val="4A273F59"/>
    <w:rsid w:val="4A4331D4"/>
    <w:rsid w:val="4A50040E"/>
    <w:rsid w:val="4A544623"/>
    <w:rsid w:val="4A944E26"/>
    <w:rsid w:val="4A98067C"/>
    <w:rsid w:val="4A9D5A6B"/>
    <w:rsid w:val="4AA1254F"/>
    <w:rsid w:val="4AA50F17"/>
    <w:rsid w:val="4AB02DD9"/>
    <w:rsid w:val="4ABC530F"/>
    <w:rsid w:val="4ABD582C"/>
    <w:rsid w:val="4AD13459"/>
    <w:rsid w:val="4AF8081D"/>
    <w:rsid w:val="4B1D1AE0"/>
    <w:rsid w:val="4B335AEA"/>
    <w:rsid w:val="4B3742EF"/>
    <w:rsid w:val="4B3E72CA"/>
    <w:rsid w:val="4B4473F5"/>
    <w:rsid w:val="4B52220F"/>
    <w:rsid w:val="4B5773BB"/>
    <w:rsid w:val="4B690B98"/>
    <w:rsid w:val="4B6D0669"/>
    <w:rsid w:val="4B7138B0"/>
    <w:rsid w:val="4B8751C4"/>
    <w:rsid w:val="4B9740B6"/>
    <w:rsid w:val="4B9F2359"/>
    <w:rsid w:val="4BB21BDB"/>
    <w:rsid w:val="4BB57511"/>
    <w:rsid w:val="4BC627E8"/>
    <w:rsid w:val="4BCD49E3"/>
    <w:rsid w:val="4BDB7E22"/>
    <w:rsid w:val="4BE31C83"/>
    <w:rsid w:val="4C023381"/>
    <w:rsid w:val="4C1E14B2"/>
    <w:rsid w:val="4C333227"/>
    <w:rsid w:val="4C3F4469"/>
    <w:rsid w:val="4C5C32A2"/>
    <w:rsid w:val="4C6B6217"/>
    <w:rsid w:val="4C6D2BBA"/>
    <w:rsid w:val="4C790721"/>
    <w:rsid w:val="4C900300"/>
    <w:rsid w:val="4C9A4C03"/>
    <w:rsid w:val="4CA02EC6"/>
    <w:rsid w:val="4CAF0260"/>
    <w:rsid w:val="4CB6089F"/>
    <w:rsid w:val="4CB91AD8"/>
    <w:rsid w:val="4CE133AE"/>
    <w:rsid w:val="4CE67491"/>
    <w:rsid w:val="4CE81EA8"/>
    <w:rsid w:val="4CF37EEA"/>
    <w:rsid w:val="4D03536D"/>
    <w:rsid w:val="4D2F09CE"/>
    <w:rsid w:val="4D316C1F"/>
    <w:rsid w:val="4D327775"/>
    <w:rsid w:val="4D374E66"/>
    <w:rsid w:val="4D3769BF"/>
    <w:rsid w:val="4D5A3D89"/>
    <w:rsid w:val="4D5E18D9"/>
    <w:rsid w:val="4D6B7F97"/>
    <w:rsid w:val="4D751A79"/>
    <w:rsid w:val="4D85125C"/>
    <w:rsid w:val="4D986EC3"/>
    <w:rsid w:val="4D9E707F"/>
    <w:rsid w:val="4DAE2FDC"/>
    <w:rsid w:val="4DBD5CBE"/>
    <w:rsid w:val="4DCE47EF"/>
    <w:rsid w:val="4DD72629"/>
    <w:rsid w:val="4DD909F7"/>
    <w:rsid w:val="4E0E6F23"/>
    <w:rsid w:val="4E276DF5"/>
    <w:rsid w:val="4E296397"/>
    <w:rsid w:val="4E653F32"/>
    <w:rsid w:val="4E796CCD"/>
    <w:rsid w:val="4E8128C9"/>
    <w:rsid w:val="4E871EC6"/>
    <w:rsid w:val="4E8D6B2B"/>
    <w:rsid w:val="4E930F85"/>
    <w:rsid w:val="4E953D67"/>
    <w:rsid w:val="4E975311"/>
    <w:rsid w:val="4EA46B63"/>
    <w:rsid w:val="4ED10A53"/>
    <w:rsid w:val="4EEB08E0"/>
    <w:rsid w:val="4F032643"/>
    <w:rsid w:val="4F130187"/>
    <w:rsid w:val="4F290279"/>
    <w:rsid w:val="4F4334A0"/>
    <w:rsid w:val="4F4351A1"/>
    <w:rsid w:val="4F6F6C3B"/>
    <w:rsid w:val="4F764E74"/>
    <w:rsid w:val="4F795743"/>
    <w:rsid w:val="4F8F5963"/>
    <w:rsid w:val="4F8F6AA2"/>
    <w:rsid w:val="4F9C1D43"/>
    <w:rsid w:val="4FAF0795"/>
    <w:rsid w:val="4FB135DF"/>
    <w:rsid w:val="4FE00422"/>
    <w:rsid w:val="500C3883"/>
    <w:rsid w:val="50243781"/>
    <w:rsid w:val="50365468"/>
    <w:rsid w:val="50472C9F"/>
    <w:rsid w:val="504E3418"/>
    <w:rsid w:val="50583E70"/>
    <w:rsid w:val="50600F69"/>
    <w:rsid w:val="5073632D"/>
    <w:rsid w:val="50841F28"/>
    <w:rsid w:val="50A56D2C"/>
    <w:rsid w:val="50B937C9"/>
    <w:rsid w:val="50FB21DF"/>
    <w:rsid w:val="51000329"/>
    <w:rsid w:val="51137AEB"/>
    <w:rsid w:val="512E4E25"/>
    <w:rsid w:val="51392EF1"/>
    <w:rsid w:val="51402495"/>
    <w:rsid w:val="516E567D"/>
    <w:rsid w:val="519855BC"/>
    <w:rsid w:val="51AA617E"/>
    <w:rsid w:val="51AB67C4"/>
    <w:rsid w:val="51B11340"/>
    <w:rsid w:val="51B410B3"/>
    <w:rsid w:val="51BF740A"/>
    <w:rsid w:val="51C1190D"/>
    <w:rsid w:val="51C941D8"/>
    <w:rsid w:val="51E3655B"/>
    <w:rsid w:val="51ED0777"/>
    <w:rsid w:val="51F40F3D"/>
    <w:rsid w:val="51F566AB"/>
    <w:rsid w:val="51FD721B"/>
    <w:rsid w:val="52135D23"/>
    <w:rsid w:val="52181441"/>
    <w:rsid w:val="521903A7"/>
    <w:rsid w:val="52231C33"/>
    <w:rsid w:val="52241123"/>
    <w:rsid w:val="52441F0C"/>
    <w:rsid w:val="52465050"/>
    <w:rsid w:val="524861B3"/>
    <w:rsid w:val="525904A7"/>
    <w:rsid w:val="525B2D50"/>
    <w:rsid w:val="5266758F"/>
    <w:rsid w:val="52AB148A"/>
    <w:rsid w:val="52BF0A36"/>
    <w:rsid w:val="52CB46B9"/>
    <w:rsid w:val="52D94180"/>
    <w:rsid w:val="52E76B53"/>
    <w:rsid w:val="52FA3EFB"/>
    <w:rsid w:val="530501DE"/>
    <w:rsid w:val="5310534B"/>
    <w:rsid w:val="53157F72"/>
    <w:rsid w:val="531D0C8A"/>
    <w:rsid w:val="531E2D29"/>
    <w:rsid w:val="5348760A"/>
    <w:rsid w:val="536907D2"/>
    <w:rsid w:val="5376663B"/>
    <w:rsid w:val="53863504"/>
    <w:rsid w:val="53922D63"/>
    <w:rsid w:val="53B40410"/>
    <w:rsid w:val="53F13A38"/>
    <w:rsid w:val="53F40982"/>
    <w:rsid w:val="53F82DD2"/>
    <w:rsid w:val="54001CA2"/>
    <w:rsid w:val="54065C84"/>
    <w:rsid w:val="541B514A"/>
    <w:rsid w:val="54230A8C"/>
    <w:rsid w:val="54417240"/>
    <w:rsid w:val="544A43C6"/>
    <w:rsid w:val="54501DCB"/>
    <w:rsid w:val="54566463"/>
    <w:rsid w:val="5487681B"/>
    <w:rsid w:val="549418D6"/>
    <w:rsid w:val="54A1705F"/>
    <w:rsid w:val="54AF3619"/>
    <w:rsid w:val="54B87A44"/>
    <w:rsid w:val="54BA704A"/>
    <w:rsid w:val="54BD4862"/>
    <w:rsid w:val="54C33D84"/>
    <w:rsid w:val="54D428CF"/>
    <w:rsid w:val="54DF4695"/>
    <w:rsid w:val="54EE31A2"/>
    <w:rsid w:val="55052CF1"/>
    <w:rsid w:val="550F385B"/>
    <w:rsid w:val="55212337"/>
    <w:rsid w:val="55237F3A"/>
    <w:rsid w:val="5525306B"/>
    <w:rsid w:val="55406926"/>
    <w:rsid w:val="55417B6C"/>
    <w:rsid w:val="554A09B1"/>
    <w:rsid w:val="55523188"/>
    <w:rsid w:val="5563208D"/>
    <w:rsid w:val="55675F88"/>
    <w:rsid w:val="55A21307"/>
    <w:rsid w:val="55A74DBF"/>
    <w:rsid w:val="55BE1067"/>
    <w:rsid w:val="55C33117"/>
    <w:rsid w:val="55CE0B95"/>
    <w:rsid w:val="55D35689"/>
    <w:rsid w:val="55E50BDD"/>
    <w:rsid w:val="55EB2C00"/>
    <w:rsid w:val="56034117"/>
    <w:rsid w:val="563040DB"/>
    <w:rsid w:val="564232F0"/>
    <w:rsid w:val="566D1A3A"/>
    <w:rsid w:val="5691065C"/>
    <w:rsid w:val="569E3552"/>
    <w:rsid w:val="56A432AD"/>
    <w:rsid w:val="56AA51FE"/>
    <w:rsid w:val="56C53A1D"/>
    <w:rsid w:val="56D90135"/>
    <w:rsid w:val="56F163EF"/>
    <w:rsid w:val="570A65CF"/>
    <w:rsid w:val="570B2C4C"/>
    <w:rsid w:val="572E34B5"/>
    <w:rsid w:val="573A4E47"/>
    <w:rsid w:val="573F2ECE"/>
    <w:rsid w:val="57480534"/>
    <w:rsid w:val="574945F2"/>
    <w:rsid w:val="57540CC3"/>
    <w:rsid w:val="57813DE1"/>
    <w:rsid w:val="578A683C"/>
    <w:rsid w:val="579C3B2A"/>
    <w:rsid w:val="57BB1F1E"/>
    <w:rsid w:val="57CE45EB"/>
    <w:rsid w:val="57D27300"/>
    <w:rsid w:val="580818C4"/>
    <w:rsid w:val="580B6821"/>
    <w:rsid w:val="582844C0"/>
    <w:rsid w:val="582E5D63"/>
    <w:rsid w:val="5830574E"/>
    <w:rsid w:val="583A7D1D"/>
    <w:rsid w:val="58443DAC"/>
    <w:rsid w:val="58500489"/>
    <w:rsid w:val="58525259"/>
    <w:rsid w:val="58592259"/>
    <w:rsid w:val="585970F8"/>
    <w:rsid w:val="58612996"/>
    <w:rsid w:val="586814BD"/>
    <w:rsid w:val="5893334A"/>
    <w:rsid w:val="589358D0"/>
    <w:rsid w:val="58A308BF"/>
    <w:rsid w:val="58A5436C"/>
    <w:rsid w:val="58C02FDD"/>
    <w:rsid w:val="58C15A50"/>
    <w:rsid w:val="58C644CA"/>
    <w:rsid w:val="58EC137C"/>
    <w:rsid w:val="59076F4D"/>
    <w:rsid w:val="59233B94"/>
    <w:rsid w:val="593B794E"/>
    <w:rsid w:val="593E1B8E"/>
    <w:rsid w:val="59455A70"/>
    <w:rsid w:val="594B238F"/>
    <w:rsid w:val="5951477F"/>
    <w:rsid w:val="5957712C"/>
    <w:rsid w:val="595D5BA9"/>
    <w:rsid w:val="598217FC"/>
    <w:rsid w:val="599118D2"/>
    <w:rsid w:val="59937667"/>
    <w:rsid w:val="599F0E6C"/>
    <w:rsid w:val="59C34B28"/>
    <w:rsid w:val="59E8177D"/>
    <w:rsid w:val="59EE3C8B"/>
    <w:rsid w:val="5A084EE4"/>
    <w:rsid w:val="5A1F0924"/>
    <w:rsid w:val="5A26643D"/>
    <w:rsid w:val="5A397A2B"/>
    <w:rsid w:val="5A3C6487"/>
    <w:rsid w:val="5A4C3932"/>
    <w:rsid w:val="5A667B76"/>
    <w:rsid w:val="5A80652F"/>
    <w:rsid w:val="5A8622C3"/>
    <w:rsid w:val="5A940CDB"/>
    <w:rsid w:val="5A9C3FC7"/>
    <w:rsid w:val="5AB41D65"/>
    <w:rsid w:val="5AFE32D2"/>
    <w:rsid w:val="5B221B48"/>
    <w:rsid w:val="5B2B70BC"/>
    <w:rsid w:val="5B304ABE"/>
    <w:rsid w:val="5B3756D6"/>
    <w:rsid w:val="5B395C16"/>
    <w:rsid w:val="5B4C7428"/>
    <w:rsid w:val="5B612614"/>
    <w:rsid w:val="5B68494D"/>
    <w:rsid w:val="5B7C1D76"/>
    <w:rsid w:val="5B832185"/>
    <w:rsid w:val="5B8D544C"/>
    <w:rsid w:val="5BAA6152"/>
    <w:rsid w:val="5BB93066"/>
    <w:rsid w:val="5BBD7930"/>
    <w:rsid w:val="5BEC7319"/>
    <w:rsid w:val="5BF148BA"/>
    <w:rsid w:val="5BF4555E"/>
    <w:rsid w:val="5C0E7DE5"/>
    <w:rsid w:val="5C0F5BC4"/>
    <w:rsid w:val="5C14043A"/>
    <w:rsid w:val="5C186AFF"/>
    <w:rsid w:val="5C1C6607"/>
    <w:rsid w:val="5C342206"/>
    <w:rsid w:val="5C3B662D"/>
    <w:rsid w:val="5C402C24"/>
    <w:rsid w:val="5C5472E9"/>
    <w:rsid w:val="5C5F642E"/>
    <w:rsid w:val="5C6522AE"/>
    <w:rsid w:val="5C783196"/>
    <w:rsid w:val="5CCB1334"/>
    <w:rsid w:val="5CCC2560"/>
    <w:rsid w:val="5CD261FD"/>
    <w:rsid w:val="5CD85BC0"/>
    <w:rsid w:val="5CE233A0"/>
    <w:rsid w:val="5CF370F3"/>
    <w:rsid w:val="5CFD6DAF"/>
    <w:rsid w:val="5D106C18"/>
    <w:rsid w:val="5D157802"/>
    <w:rsid w:val="5D305906"/>
    <w:rsid w:val="5D3B62DD"/>
    <w:rsid w:val="5D515B38"/>
    <w:rsid w:val="5D6A012B"/>
    <w:rsid w:val="5D765CA5"/>
    <w:rsid w:val="5D847E30"/>
    <w:rsid w:val="5D860358"/>
    <w:rsid w:val="5D8A6EE7"/>
    <w:rsid w:val="5D8C220B"/>
    <w:rsid w:val="5D901ECA"/>
    <w:rsid w:val="5D92286B"/>
    <w:rsid w:val="5D997DAA"/>
    <w:rsid w:val="5DA86721"/>
    <w:rsid w:val="5DB32E8F"/>
    <w:rsid w:val="5DBD4DC9"/>
    <w:rsid w:val="5DC64F73"/>
    <w:rsid w:val="5E01656E"/>
    <w:rsid w:val="5E062DE4"/>
    <w:rsid w:val="5E0C5A33"/>
    <w:rsid w:val="5E133E36"/>
    <w:rsid w:val="5E166F96"/>
    <w:rsid w:val="5E285FF8"/>
    <w:rsid w:val="5E451463"/>
    <w:rsid w:val="5E45781E"/>
    <w:rsid w:val="5E6C504A"/>
    <w:rsid w:val="5E984CB2"/>
    <w:rsid w:val="5E9E3153"/>
    <w:rsid w:val="5EA51695"/>
    <w:rsid w:val="5ECC05E7"/>
    <w:rsid w:val="5ED243FE"/>
    <w:rsid w:val="5ED25C15"/>
    <w:rsid w:val="5EDA1025"/>
    <w:rsid w:val="5EE513AD"/>
    <w:rsid w:val="5F181130"/>
    <w:rsid w:val="5F547892"/>
    <w:rsid w:val="5F5B3B2E"/>
    <w:rsid w:val="5F734866"/>
    <w:rsid w:val="5F87773B"/>
    <w:rsid w:val="5F8B0E29"/>
    <w:rsid w:val="5F8D1CCC"/>
    <w:rsid w:val="5F9256E0"/>
    <w:rsid w:val="5FA91969"/>
    <w:rsid w:val="5FBD6D0F"/>
    <w:rsid w:val="5FC8000D"/>
    <w:rsid w:val="5FC812E0"/>
    <w:rsid w:val="5FC9395A"/>
    <w:rsid w:val="5FCC1530"/>
    <w:rsid w:val="5FD01A09"/>
    <w:rsid w:val="5FDD5451"/>
    <w:rsid w:val="5FE07E12"/>
    <w:rsid w:val="5FF51DAD"/>
    <w:rsid w:val="5FFB61A1"/>
    <w:rsid w:val="60243032"/>
    <w:rsid w:val="60386940"/>
    <w:rsid w:val="603A3361"/>
    <w:rsid w:val="60550E4A"/>
    <w:rsid w:val="60553B02"/>
    <w:rsid w:val="6068552B"/>
    <w:rsid w:val="6068588B"/>
    <w:rsid w:val="606C0766"/>
    <w:rsid w:val="607D344A"/>
    <w:rsid w:val="608512B2"/>
    <w:rsid w:val="60897ADE"/>
    <w:rsid w:val="60B3552A"/>
    <w:rsid w:val="60C10DFB"/>
    <w:rsid w:val="60C34F8E"/>
    <w:rsid w:val="60C70248"/>
    <w:rsid w:val="60C822FC"/>
    <w:rsid w:val="60D80E29"/>
    <w:rsid w:val="60DB2C85"/>
    <w:rsid w:val="60EC5CD8"/>
    <w:rsid w:val="60F32370"/>
    <w:rsid w:val="60F67618"/>
    <w:rsid w:val="60FF6CC8"/>
    <w:rsid w:val="61023990"/>
    <w:rsid w:val="610D5925"/>
    <w:rsid w:val="611426CA"/>
    <w:rsid w:val="61224694"/>
    <w:rsid w:val="61321D06"/>
    <w:rsid w:val="61422E1E"/>
    <w:rsid w:val="61482E15"/>
    <w:rsid w:val="6169027D"/>
    <w:rsid w:val="61946DE5"/>
    <w:rsid w:val="61957B3A"/>
    <w:rsid w:val="619612E5"/>
    <w:rsid w:val="61A90687"/>
    <w:rsid w:val="61B1333B"/>
    <w:rsid w:val="61C51F46"/>
    <w:rsid w:val="61D053B7"/>
    <w:rsid w:val="61D11807"/>
    <w:rsid w:val="61F3238D"/>
    <w:rsid w:val="61FC5AFD"/>
    <w:rsid w:val="621718FA"/>
    <w:rsid w:val="62377CBC"/>
    <w:rsid w:val="624B5B51"/>
    <w:rsid w:val="62710A48"/>
    <w:rsid w:val="627B076C"/>
    <w:rsid w:val="627B67DD"/>
    <w:rsid w:val="62871B3F"/>
    <w:rsid w:val="6293272C"/>
    <w:rsid w:val="62AA70BB"/>
    <w:rsid w:val="62AB5C40"/>
    <w:rsid w:val="62C01851"/>
    <w:rsid w:val="62D86971"/>
    <w:rsid w:val="62E526DF"/>
    <w:rsid w:val="62F22F03"/>
    <w:rsid w:val="62F33F75"/>
    <w:rsid w:val="62FD24C6"/>
    <w:rsid w:val="630811D5"/>
    <w:rsid w:val="631114F1"/>
    <w:rsid w:val="631D3672"/>
    <w:rsid w:val="632A56AC"/>
    <w:rsid w:val="63323A21"/>
    <w:rsid w:val="633F6496"/>
    <w:rsid w:val="634738AE"/>
    <w:rsid w:val="63546FAB"/>
    <w:rsid w:val="63631E82"/>
    <w:rsid w:val="63763316"/>
    <w:rsid w:val="63832D56"/>
    <w:rsid w:val="63855AD8"/>
    <w:rsid w:val="639F72B9"/>
    <w:rsid w:val="63AA0F2D"/>
    <w:rsid w:val="63CA367B"/>
    <w:rsid w:val="63D20C79"/>
    <w:rsid w:val="641029FB"/>
    <w:rsid w:val="641541C7"/>
    <w:rsid w:val="64183929"/>
    <w:rsid w:val="643A3486"/>
    <w:rsid w:val="644E3F64"/>
    <w:rsid w:val="6459400C"/>
    <w:rsid w:val="645E3250"/>
    <w:rsid w:val="645E7B38"/>
    <w:rsid w:val="64650790"/>
    <w:rsid w:val="646859BF"/>
    <w:rsid w:val="646B4360"/>
    <w:rsid w:val="647C1F3F"/>
    <w:rsid w:val="64826EEE"/>
    <w:rsid w:val="64853B79"/>
    <w:rsid w:val="64987626"/>
    <w:rsid w:val="64CA15C7"/>
    <w:rsid w:val="64D60621"/>
    <w:rsid w:val="64EA2F9D"/>
    <w:rsid w:val="64EE73EC"/>
    <w:rsid w:val="64EF4B0D"/>
    <w:rsid w:val="64F4267C"/>
    <w:rsid w:val="64FC5ADD"/>
    <w:rsid w:val="650C63F0"/>
    <w:rsid w:val="650F7107"/>
    <w:rsid w:val="65135F8C"/>
    <w:rsid w:val="651B1F2E"/>
    <w:rsid w:val="652349B3"/>
    <w:rsid w:val="653345C0"/>
    <w:rsid w:val="653A6060"/>
    <w:rsid w:val="65484325"/>
    <w:rsid w:val="654B12D8"/>
    <w:rsid w:val="656C52FA"/>
    <w:rsid w:val="657A5B40"/>
    <w:rsid w:val="65A50E3B"/>
    <w:rsid w:val="65A60FCB"/>
    <w:rsid w:val="65B42D53"/>
    <w:rsid w:val="65B73022"/>
    <w:rsid w:val="65F73E5A"/>
    <w:rsid w:val="66047527"/>
    <w:rsid w:val="660E48A2"/>
    <w:rsid w:val="664B68DB"/>
    <w:rsid w:val="66522A85"/>
    <w:rsid w:val="665B4904"/>
    <w:rsid w:val="666515E6"/>
    <w:rsid w:val="66714D39"/>
    <w:rsid w:val="667918CE"/>
    <w:rsid w:val="66874531"/>
    <w:rsid w:val="66943302"/>
    <w:rsid w:val="66A964D1"/>
    <w:rsid w:val="66C0161F"/>
    <w:rsid w:val="66C438B5"/>
    <w:rsid w:val="66E3350E"/>
    <w:rsid w:val="66E82B3E"/>
    <w:rsid w:val="66ED4080"/>
    <w:rsid w:val="66F335F7"/>
    <w:rsid w:val="66F37DE3"/>
    <w:rsid w:val="67084A78"/>
    <w:rsid w:val="6727353E"/>
    <w:rsid w:val="6729091B"/>
    <w:rsid w:val="674058F6"/>
    <w:rsid w:val="67501CF1"/>
    <w:rsid w:val="67526E8E"/>
    <w:rsid w:val="6772350F"/>
    <w:rsid w:val="677640C2"/>
    <w:rsid w:val="677C5B6B"/>
    <w:rsid w:val="67805727"/>
    <w:rsid w:val="67817726"/>
    <w:rsid w:val="678415EA"/>
    <w:rsid w:val="67921F97"/>
    <w:rsid w:val="67D14550"/>
    <w:rsid w:val="67D76F77"/>
    <w:rsid w:val="67E4505B"/>
    <w:rsid w:val="67ED70CC"/>
    <w:rsid w:val="67F72007"/>
    <w:rsid w:val="680972A1"/>
    <w:rsid w:val="680A5DB6"/>
    <w:rsid w:val="68114409"/>
    <w:rsid w:val="68350971"/>
    <w:rsid w:val="68461303"/>
    <w:rsid w:val="68952D08"/>
    <w:rsid w:val="68A73795"/>
    <w:rsid w:val="68A83BC1"/>
    <w:rsid w:val="68C83785"/>
    <w:rsid w:val="68D127C4"/>
    <w:rsid w:val="68DA3B67"/>
    <w:rsid w:val="68DE2E56"/>
    <w:rsid w:val="68E94339"/>
    <w:rsid w:val="68EC0EF8"/>
    <w:rsid w:val="69143C06"/>
    <w:rsid w:val="692A61C8"/>
    <w:rsid w:val="692B5837"/>
    <w:rsid w:val="69313164"/>
    <w:rsid w:val="695C3AF9"/>
    <w:rsid w:val="69603284"/>
    <w:rsid w:val="6965602D"/>
    <w:rsid w:val="69661B6C"/>
    <w:rsid w:val="6984079D"/>
    <w:rsid w:val="6989569F"/>
    <w:rsid w:val="69906678"/>
    <w:rsid w:val="69942670"/>
    <w:rsid w:val="699E7AEF"/>
    <w:rsid w:val="69AE196D"/>
    <w:rsid w:val="69B34341"/>
    <w:rsid w:val="69C55F50"/>
    <w:rsid w:val="69D600B3"/>
    <w:rsid w:val="69E36D9B"/>
    <w:rsid w:val="69E62AD0"/>
    <w:rsid w:val="69EC5994"/>
    <w:rsid w:val="69F4758E"/>
    <w:rsid w:val="6A02381D"/>
    <w:rsid w:val="6A0301F2"/>
    <w:rsid w:val="6A0A1104"/>
    <w:rsid w:val="6A0A37E7"/>
    <w:rsid w:val="6A0C5F3F"/>
    <w:rsid w:val="6A0E090E"/>
    <w:rsid w:val="6A0F3529"/>
    <w:rsid w:val="6A557056"/>
    <w:rsid w:val="6A566274"/>
    <w:rsid w:val="6A587F50"/>
    <w:rsid w:val="6A8F4214"/>
    <w:rsid w:val="6A924EBC"/>
    <w:rsid w:val="6A980B0A"/>
    <w:rsid w:val="6A9D3243"/>
    <w:rsid w:val="6A9E4524"/>
    <w:rsid w:val="6AE3091B"/>
    <w:rsid w:val="6B15482F"/>
    <w:rsid w:val="6B1654AB"/>
    <w:rsid w:val="6B260404"/>
    <w:rsid w:val="6B4615CB"/>
    <w:rsid w:val="6B4660B4"/>
    <w:rsid w:val="6B54511B"/>
    <w:rsid w:val="6B594130"/>
    <w:rsid w:val="6B7F4235"/>
    <w:rsid w:val="6B892696"/>
    <w:rsid w:val="6BA00CD7"/>
    <w:rsid w:val="6BA47394"/>
    <w:rsid w:val="6BAD310C"/>
    <w:rsid w:val="6BB32D9C"/>
    <w:rsid w:val="6BB72606"/>
    <w:rsid w:val="6BB97E3C"/>
    <w:rsid w:val="6BC21355"/>
    <w:rsid w:val="6BCD012A"/>
    <w:rsid w:val="6BF2597D"/>
    <w:rsid w:val="6BF9723E"/>
    <w:rsid w:val="6C07138F"/>
    <w:rsid w:val="6C172C4B"/>
    <w:rsid w:val="6C192849"/>
    <w:rsid w:val="6C1A03F2"/>
    <w:rsid w:val="6C2E3697"/>
    <w:rsid w:val="6C3A02E1"/>
    <w:rsid w:val="6C41658E"/>
    <w:rsid w:val="6C417F7B"/>
    <w:rsid w:val="6C45623C"/>
    <w:rsid w:val="6C471028"/>
    <w:rsid w:val="6C5A777D"/>
    <w:rsid w:val="6C6A5224"/>
    <w:rsid w:val="6C7630D3"/>
    <w:rsid w:val="6C8B420C"/>
    <w:rsid w:val="6CAE5EE2"/>
    <w:rsid w:val="6CAF6625"/>
    <w:rsid w:val="6CC5104B"/>
    <w:rsid w:val="6CCD35FC"/>
    <w:rsid w:val="6CCF1EF1"/>
    <w:rsid w:val="6CD05E4D"/>
    <w:rsid w:val="6CEE0D90"/>
    <w:rsid w:val="6CF56F00"/>
    <w:rsid w:val="6CF9559F"/>
    <w:rsid w:val="6D0357D9"/>
    <w:rsid w:val="6D152BC2"/>
    <w:rsid w:val="6D170E5B"/>
    <w:rsid w:val="6D2633F0"/>
    <w:rsid w:val="6D2B0DEB"/>
    <w:rsid w:val="6D702A99"/>
    <w:rsid w:val="6DA05AAA"/>
    <w:rsid w:val="6DA92BB2"/>
    <w:rsid w:val="6DAB6BEC"/>
    <w:rsid w:val="6DBE1CBB"/>
    <w:rsid w:val="6DC11146"/>
    <w:rsid w:val="6DC3564A"/>
    <w:rsid w:val="6DD80E4B"/>
    <w:rsid w:val="6DDB0AE1"/>
    <w:rsid w:val="6DE91C23"/>
    <w:rsid w:val="6DFC2436"/>
    <w:rsid w:val="6E0A419A"/>
    <w:rsid w:val="6E0E4A66"/>
    <w:rsid w:val="6E260F32"/>
    <w:rsid w:val="6E295411"/>
    <w:rsid w:val="6E2A78AE"/>
    <w:rsid w:val="6E2D725C"/>
    <w:rsid w:val="6E314464"/>
    <w:rsid w:val="6E410CE4"/>
    <w:rsid w:val="6E412B38"/>
    <w:rsid w:val="6E415F7B"/>
    <w:rsid w:val="6E474C72"/>
    <w:rsid w:val="6E7E01B5"/>
    <w:rsid w:val="6E8674C6"/>
    <w:rsid w:val="6EA65198"/>
    <w:rsid w:val="6EB4779E"/>
    <w:rsid w:val="6EBF7FC5"/>
    <w:rsid w:val="6ED25741"/>
    <w:rsid w:val="6EE0593A"/>
    <w:rsid w:val="6EE07B49"/>
    <w:rsid w:val="6EE1433B"/>
    <w:rsid w:val="6EEB1070"/>
    <w:rsid w:val="6EEE5412"/>
    <w:rsid w:val="6EF57EC7"/>
    <w:rsid w:val="6EF92996"/>
    <w:rsid w:val="6F0A1128"/>
    <w:rsid w:val="6F190F50"/>
    <w:rsid w:val="6F3673DA"/>
    <w:rsid w:val="6F481FF9"/>
    <w:rsid w:val="6F5D6D9B"/>
    <w:rsid w:val="6F6767D5"/>
    <w:rsid w:val="6F755B38"/>
    <w:rsid w:val="6F773BF1"/>
    <w:rsid w:val="6F8121FD"/>
    <w:rsid w:val="6F8D077F"/>
    <w:rsid w:val="6FA50DE5"/>
    <w:rsid w:val="6FA86EC5"/>
    <w:rsid w:val="6FBA22B7"/>
    <w:rsid w:val="6FC54EFC"/>
    <w:rsid w:val="6FDB5B29"/>
    <w:rsid w:val="6FE443FB"/>
    <w:rsid w:val="6FE8015F"/>
    <w:rsid w:val="701877E6"/>
    <w:rsid w:val="702D46A9"/>
    <w:rsid w:val="704F4DFE"/>
    <w:rsid w:val="70595F77"/>
    <w:rsid w:val="7082287C"/>
    <w:rsid w:val="70834ECD"/>
    <w:rsid w:val="708E4B53"/>
    <w:rsid w:val="70912D7B"/>
    <w:rsid w:val="7095437E"/>
    <w:rsid w:val="70A90F96"/>
    <w:rsid w:val="70B27E98"/>
    <w:rsid w:val="70BB052E"/>
    <w:rsid w:val="70C3134A"/>
    <w:rsid w:val="70E175B3"/>
    <w:rsid w:val="70E214F7"/>
    <w:rsid w:val="70E245D8"/>
    <w:rsid w:val="70E37F10"/>
    <w:rsid w:val="70E40F3E"/>
    <w:rsid w:val="71015534"/>
    <w:rsid w:val="71067524"/>
    <w:rsid w:val="710F240C"/>
    <w:rsid w:val="7127689C"/>
    <w:rsid w:val="71327F02"/>
    <w:rsid w:val="71371EB2"/>
    <w:rsid w:val="714725EC"/>
    <w:rsid w:val="71484F1B"/>
    <w:rsid w:val="71563416"/>
    <w:rsid w:val="715D6CC4"/>
    <w:rsid w:val="715E15E9"/>
    <w:rsid w:val="716A5C9F"/>
    <w:rsid w:val="717B7810"/>
    <w:rsid w:val="71816613"/>
    <w:rsid w:val="71874120"/>
    <w:rsid w:val="718D570D"/>
    <w:rsid w:val="718E134C"/>
    <w:rsid w:val="71940E96"/>
    <w:rsid w:val="71950EE9"/>
    <w:rsid w:val="71A42FC3"/>
    <w:rsid w:val="71BC2AB7"/>
    <w:rsid w:val="71DD60DE"/>
    <w:rsid w:val="71ED55ED"/>
    <w:rsid w:val="72001F85"/>
    <w:rsid w:val="72051A3B"/>
    <w:rsid w:val="720E4F6A"/>
    <w:rsid w:val="72116F3B"/>
    <w:rsid w:val="721B2CF3"/>
    <w:rsid w:val="721D3433"/>
    <w:rsid w:val="72427A95"/>
    <w:rsid w:val="724566C2"/>
    <w:rsid w:val="724D5C72"/>
    <w:rsid w:val="7264363F"/>
    <w:rsid w:val="7268251B"/>
    <w:rsid w:val="727528FA"/>
    <w:rsid w:val="728D0035"/>
    <w:rsid w:val="72917FEB"/>
    <w:rsid w:val="72AE11C4"/>
    <w:rsid w:val="72B2550F"/>
    <w:rsid w:val="72D31F0C"/>
    <w:rsid w:val="72DF1DEA"/>
    <w:rsid w:val="73060AE6"/>
    <w:rsid w:val="73176BF0"/>
    <w:rsid w:val="731C4C9D"/>
    <w:rsid w:val="73457A3F"/>
    <w:rsid w:val="73480650"/>
    <w:rsid w:val="734A6821"/>
    <w:rsid w:val="734F039E"/>
    <w:rsid w:val="738214EE"/>
    <w:rsid w:val="73954DC9"/>
    <w:rsid w:val="73984EBB"/>
    <w:rsid w:val="73BA6A3F"/>
    <w:rsid w:val="73D43DF5"/>
    <w:rsid w:val="73DC38C0"/>
    <w:rsid w:val="73E11F52"/>
    <w:rsid w:val="740E16F7"/>
    <w:rsid w:val="74210088"/>
    <w:rsid w:val="742A1262"/>
    <w:rsid w:val="74314D2A"/>
    <w:rsid w:val="74372433"/>
    <w:rsid w:val="744465E6"/>
    <w:rsid w:val="744E2580"/>
    <w:rsid w:val="745B1B6B"/>
    <w:rsid w:val="746112FD"/>
    <w:rsid w:val="74764269"/>
    <w:rsid w:val="7478397A"/>
    <w:rsid w:val="74841296"/>
    <w:rsid w:val="748A13EF"/>
    <w:rsid w:val="74945011"/>
    <w:rsid w:val="749848A1"/>
    <w:rsid w:val="749E6CA8"/>
    <w:rsid w:val="749F09D7"/>
    <w:rsid w:val="74B248DC"/>
    <w:rsid w:val="74C00623"/>
    <w:rsid w:val="74C7621B"/>
    <w:rsid w:val="74C9097F"/>
    <w:rsid w:val="74D60199"/>
    <w:rsid w:val="74D95BC3"/>
    <w:rsid w:val="74F15EA0"/>
    <w:rsid w:val="74F16233"/>
    <w:rsid w:val="74F73D93"/>
    <w:rsid w:val="750D7FA1"/>
    <w:rsid w:val="75110C97"/>
    <w:rsid w:val="75212E13"/>
    <w:rsid w:val="7524097B"/>
    <w:rsid w:val="75262844"/>
    <w:rsid w:val="75286DC8"/>
    <w:rsid w:val="752A174F"/>
    <w:rsid w:val="752B61B1"/>
    <w:rsid w:val="752F53BE"/>
    <w:rsid w:val="754703E4"/>
    <w:rsid w:val="754E5285"/>
    <w:rsid w:val="7562565F"/>
    <w:rsid w:val="75851413"/>
    <w:rsid w:val="758B3AA6"/>
    <w:rsid w:val="758C1899"/>
    <w:rsid w:val="759F4670"/>
    <w:rsid w:val="75B22FE3"/>
    <w:rsid w:val="75C62A7C"/>
    <w:rsid w:val="75D2031C"/>
    <w:rsid w:val="75D946A6"/>
    <w:rsid w:val="75EC50A4"/>
    <w:rsid w:val="75ED2216"/>
    <w:rsid w:val="75FD1259"/>
    <w:rsid w:val="75FD3715"/>
    <w:rsid w:val="76015B9D"/>
    <w:rsid w:val="761A7337"/>
    <w:rsid w:val="762B0B1E"/>
    <w:rsid w:val="764F36AB"/>
    <w:rsid w:val="76610470"/>
    <w:rsid w:val="766254F0"/>
    <w:rsid w:val="766A06ED"/>
    <w:rsid w:val="766E201F"/>
    <w:rsid w:val="7675749B"/>
    <w:rsid w:val="767A4F96"/>
    <w:rsid w:val="767F6B11"/>
    <w:rsid w:val="768367DC"/>
    <w:rsid w:val="76943ABE"/>
    <w:rsid w:val="769F67CA"/>
    <w:rsid w:val="76AE5D35"/>
    <w:rsid w:val="76B419D5"/>
    <w:rsid w:val="76B41FB4"/>
    <w:rsid w:val="76CD6CA0"/>
    <w:rsid w:val="76D25CBA"/>
    <w:rsid w:val="76D62A52"/>
    <w:rsid w:val="76E84761"/>
    <w:rsid w:val="77001F75"/>
    <w:rsid w:val="7702560C"/>
    <w:rsid w:val="7703605F"/>
    <w:rsid w:val="77042DF5"/>
    <w:rsid w:val="77183053"/>
    <w:rsid w:val="771E5FB5"/>
    <w:rsid w:val="77207C4F"/>
    <w:rsid w:val="772A140E"/>
    <w:rsid w:val="772E37C7"/>
    <w:rsid w:val="77475BB1"/>
    <w:rsid w:val="774F1DDF"/>
    <w:rsid w:val="77647E2E"/>
    <w:rsid w:val="776C17B6"/>
    <w:rsid w:val="776E4DE4"/>
    <w:rsid w:val="777F2AA2"/>
    <w:rsid w:val="77974259"/>
    <w:rsid w:val="779C64F5"/>
    <w:rsid w:val="77A70E4A"/>
    <w:rsid w:val="77BF2809"/>
    <w:rsid w:val="77D6454B"/>
    <w:rsid w:val="77E37E4E"/>
    <w:rsid w:val="77E84F42"/>
    <w:rsid w:val="78143080"/>
    <w:rsid w:val="782C3E03"/>
    <w:rsid w:val="784D12AE"/>
    <w:rsid w:val="785B20F0"/>
    <w:rsid w:val="786A56A1"/>
    <w:rsid w:val="7884112B"/>
    <w:rsid w:val="789D3203"/>
    <w:rsid w:val="789D6210"/>
    <w:rsid w:val="78A9670A"/>
    <w:rsid w:val="78BD7BF6"/>
    <w:rsid w:val="78E835EC"/>
    <w:rsid w:val="78EB3AC7"/>
    <w:rsid w:val="792C534A"/>
    <w:rsid w:val="79446426"/>
    <w:rsid w:val="794E2488"/>
    <w:rsid w:val="79576562"/>
    <w:rsid w:val="795A30FE"/>
    <w:rsid w:val="79602F32"/>
    <w:rsid w:val="79610B24"/>
    <w:rsid w:val="796E1089"/>
    <w:rsid w:val="79765332"/>
    <w:rsid w:val="797A25DD"/>
    <w:rsid w:val="7984300B"/>
    <w:rsid w:val="79887E0B"/>
    <w:rsid w:val="79B309DE"/>
    <w:rsid w:val="79B36C8A"/>
    <w:rsid w:val="79BB3B04"/>
    <w:rsid w:val="79BE1F3B"/>
    <w:rsid w:val="79C4227C"/>
    <w:rsid w:val="79C964A9"/>
    <w:rsid w:val="79E3023F"/>
    <w:rsid w:val="79F17664"/>
    <w:rsid w:val="79F4382F"/>
    <w:rsid w:val="79FC0B2D"/>
    <w:rsid w:val="79FF3EC6"/>
    <w:rsid w:val="7A221FF4"/>
    <w:rsid w:val="7A37695F"/>
    <w:rsid w:val="7A4F6EDB"/>
    <w:rsid w:val="7A775EB6"/>
    <w:rsid w:val="7A8B63F0"/>
    <w:rsid w:val="7A8E4453"/>
    <w:rsid w:val="7AD323C6"/>
    <w:rsid w:val="7AD42C7A"/>
    <w:rsid w:val="7AD83D58"/>
    <w:rsid w:val="7B1C6DC0"/>
    <w:rsid w:val="7B1E0676"/>
    <w:rsid w:val="7B35270E"/>
    <w:rsid w:val="7B35312D"/>
    <w:rsid w:val="7B4F1D78"/>
    <w:rsid w:val="7B6619A2"/>
    <w:rsid w:val="7B755A33"/>
    <w:rsid w:val="7B7E50D2"/>
    <w:rsid w:val="7B8C2D01"/>
    <w:rsid w:val="7B8F4B56"/>
    <w:rsid w:val="7BA80BAE"/>
    <w:rsid w:val="7BA83A65"/>
    <w:rsid w:val="7BAF2362"/>
    <w:rsid w:val="7BB2089C"/>
    <w:rsid w:val="7BE379AA"/>
    <w:rsid w:val="7BF862A4"/>
    <w:rsid w:val="7BFE1AC2"/>
    <w:rsid w:val="7C120683"/>
    <w:rsid w:val="7C2F1D70"/>
    <w:rsid w:val="7C3D2EBC"/>
    <w:rsid w:val="7C4B1B11"/>
    <w:rsid w:val="7C5A7FED"/>
    <w:rsid w:val="7C600CCF"/>
    <w:rsid w:val="7C8A28F3"/>
    <w:rsid w:val="7C8C212D"/>
    <w:rsid w:val="7C8D4FA7"/>
    <w:rsid w:val="7CB14767"/>
    <w:rsid w:val="7CB4422E"/>
    <w:rsid w:val="7CC43CEE"/>
    <w:rsid w:val="7CC4691F"/>
    <w:rsid w:val="7CD00A0D"/>
    <w:rsid w:val="7CD530A2"/>
    <w:rsid w:val="7D05213F"/>
    <w:rsid w:val="7D123959"/>
    <w:rsid w:val="7D183F7F"/>
    <w:rsid w:val="7D2F0002"/>
    <w:rsid w:val="7D300A7F"/>
    <w:rsid w:val="7D550C8A"/>
    <w:rsid w:val="7D600726"/>
    <w:rsid w:val="7D794175"/>
    <w:rsid w:val="7DA41DA4"/>
    <w:rsid w:val="7DAC55D1"/>
    <w:rsid w:val="7DBF0DEA"/>
    <w:rsid w:val="7DC0179C"/>
    <w:rsid w:val="7DD663B2"/>
    <w:rsid w:val="7DD82F67"/>
    <w:rsid w:val="7DE9199F"/>
    <w:rsid w:val="7DEC7DCC"/>
    <w:rsid w:val="7DEF7069"/>
    <w:rsid w:val="7DF3678E"/>
    <w:rsid w:val="7E112281"/>
    <w:rsid w:val="7E52148C"/>
    <w:rsid w:val="7E650D4C"/>
    <w:rsid w:val="7E6C2939"/>
    <w:rsid w:val="7E6C7171"/>
    <w:rsid w:val="7E6D19A1"/>
    <w:rsid w:val="7E7421FD"/>
    <w:rsid w:val="7E9450CC"/>
    <w:rsid w:val="7E9D52C9"/>
    <w:rsid w:val="7EA74EB5"/>
    <w:rsid w:val="7EA8362E"/>
    <w:rsid w:val="7EAA3306"/>
    <w:rsid w:val="7EB47046"/>
    <w:rsid w:val="7EC27758"/>
    <w:rsid w:val="7ED02668"/>
    <w:rsid w:val="7EE7447B"/>
    <w:rsid w:val="7EE76550"/>
    <w:rsid w:val="7EE9071B"/>
    <w:rsid w:val="7EF6397B"/>
    <w:rsid w:val="7EFA7DB0"/>
    <w:rsid w:val="7F085E78"/>
    <w:rsid w:val="7F2035FF"/>
    <w:rsid w:val="7F233959"/>
    <w:rsid w:val="7F290387"/>
    <w:rsid w:val="7F2C332A"/>
    <w:rsid w:val="7F2D0006"/>
    <w:rsid w:val="7F591A3B"/>
    <w:rsid w:val="7F5F11EF"/>
    <w:rsid w:val="7F716D74"/>
    <w:rsid w:val="7F8D5C90"/>
    <w:rsid w:val="7F9016E4"/>
    <w:rsid w:val="7F9772BB"/>
    <w:rsid w:val="7F9C57F5"/>
    <w:rsid w:val="7FA41CCA"/>
    <w:rsid w:val="7FA7681E"/>
    <w:rsid w:val="7FAE3E4F"/>
    <w:rsid w:val="7FAF4AC7"/>
    <w:rsid w:val="7FCD09A8"/>
    <w:rsid w:val="7FD268CC"/>
    <w:rsid w:val="7FE4760E"/>
    <w:rsid w:val="7FE47B6F"/>
    <w:rsid w:val="7FE57B63"/>
    <w:rsid w:val="7FE83953"/>
    <w:rsid w:val="7FE94AE0"/>
    <w:rsid w:val="7FF710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badi MT Condensed Light" w:hAnsi="Abadi MT Condensed Light" w:eastAsia="仿宋_GB2312" w:cs="Times New Roman"/>
      <w:kern w:val="2"/>
      <w:sz w:val="10"/>
      <w:szCs w:val="22"/>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Cambria" w:hAnsi="Cambria"/>
      <w:b/>
      <w:kern w:val="0"/>
      <w:sz w:val="32"/>
      <w:szCs w:val="20"/>
    </w:rPr>
  </w:style>
  <w:style w:type="paragraph" w:styleId="5">
    <w:name w:val="heading 3"/>
    <w:basedOn w:val="1"/>
    <w:next w:val="1"/>
    <w:link w:val="26"/>
    <w:qFormat/>
    <w:uiPriority w:val="99"/>
    <w:pPr>
      <w:ind w:left="1177"/>
      <w:outlineLvl w:val="2"/>
    </w:pPr>
    <w:rPr>
      <w:rFonts w:ascii="宋体" w:hAnsi="宋体" w:eastAsia="宋体" w:cs="宋体"/>
      <w:b/>
      <w:bCs/>
      <w:sz w:val="28"/>
      <w:szCs w:val="28"/>
      <w:lang w:val="zh-CN"/>
    </w:rPr>
  </w:style>
  <w:style w:type="paragraph" w:styleId="6">
    <w:name w:val="heading 4"/>
    <w:basedOn w:val="1"/>
    <w:next w:val="1"/>
    <w:link w:val="27"/>
    <w:qFormat/>
    <w:uiPriority w:val="99"/>
    <w:pPr>
      <w:ind w:left="853"/>
      <w:outlineLvl w:val="3"/>
    </w:pPr>
    <w:rPr>
      <w:rFonts w:ascii="宋体" w:hAnsi="宋体" w:eastAsia="宋体" w:cs="宋体"/>
      <w:b/>
      <w:bCs/>
      <w:sz w:val="24"/>
      <w:szCs w:val="24"/>
      <w:lang w:val="zh-CN"/>
    </w:rPr>
  </w:style>
  <w:style w:type="character" w:default="1" w:styleId="19">
    <w:name w:val="Default Paragraph Font"/>
    <w:semiHidden/>
    <w:qFormat/>
    <w:uiPriority w:val="99"/>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32"/>
    <w:qFormat/>
    <w:uiPriority w:val="99"/>
    <w:pPr>
      <w:tabs>
        <w:tab w:val="center" w:pos="4153"/>
        <w:tab w:val="right" w:pos="8306"/>
      </w:tabs>
      <w:snapToGrid w:val="0"/>
      <w:jc w:val="left"/>
    </w:pPr>
    <w:rPr>
      <w:sz w:val="18"/>
      <w:szCs w:val="18"/>
    </w:rPr>
  </w:style>
  <w:style w:type="paragraph" w:styleId="7">
    <w:name w:val="Normal Indent"/>
    <w:basedOn w:val="1"/>
    <w:qFormat/>
    <w:uiPriority w:val="99"/>
    <w:pPr>
      <w:ind w:firstLine="420"/>
    </w:pPr>
    <w:rPr>
      <w:rFonts w:cs="宋体"/>
      <w:szCs w:val="21"/>
    </w:rPr>
  </w:style>
  <w:style w:type="paragraph" w:styleId="8">
    <w:name w:val="annotation text"/>
    <w:basedOn w:val="1"/>
    <w:link w:val="42"/>
    <w:semiHidden/>
    <w:qFormat/>
    <w:locked/>
    <w:uiPriority w:val="99"/>
    <w:pPr>
      <w:jc w:val="left"/>
    </w:pPr>
  </w:style>
  <w:style w:type="paragraph" w:styleId="9">
    <w:name w:val="Body Text"/>
    <w:basedOn w:val="1"/>
    <w:link w:val="28"/>
    <w:qFormat/>
    <w:uiPriority w:val="99"/>
    <w:rPr>
      <w:rFonts w:ascii="宋体" w:hAnsi="宋体" w:eastAsia="宋体" w:cs="宋体"/>
      <w:sz w:val="24"/>
      <w:szCs w:val="24"/>
      <w:lang w:val="zh-CN"/>
    </w:rPr>
  </w:style>
  <w:style w:type="paragraph" w:styleId="10">
    <w:name w:val="Body Text Indent"/>
    <w:basedOn w:val="1"/>
    <w:link w:val="29"/>
    <w:qFormat/>
    <w:uiPriority w:val="99"/>
    <w:pPr>
      <w:spacing w:line="360" w:lineRule="auto"/>
      <w:ind w:firstLine="480" w:firstLineChars="200"/>
    </w:pPr>
    <w:rPr>
      <w:rFonts w:ascii="宋体" w:hAnsi="宋体"/>
      <w:sz w:val="24"/>
    </w:rPr>
  </w:style>
  <w:style w:type="paragraph" w:styleId="11">
    <w:name w:val="Plain Text"/>
    <w:basedOn w:val="1"/>
    <w:link w:val="30"/>
    <w:qFormat/>
    <w:uiPriority w:val="99"/>
    <w:pPr>
      <w:adjustRightInd w:val="0"/>
      <w:snapToGrid w:val="0"/>
      <w:spacing w:line="360" w:lineRule="auto"/>
    </w:pPr>
    <w:rPr>
      <w:rFonts w:ascii="宋体" w:hAnsi="Courier New"/>
      <w:sz w:val="21"/>
    </w:rPr>
  </w:style>
  <w:style w:type="paragraph" w:styleId="12">
    <w:name w:val="Body Text Indent 2"/>
    <w:basedOn w:val="1"/>
    <w:link w:val="31"/>
    <w:qFormat/>
    <w:uiPriority w:val="99"/>
    <w:pPr>
      <w:autoSpaceDE w:val="0"/>
      <w:autoSpaceDN w:val="0"/>
      <w:adjustRightInd w:val="0"/>
      <w:spacing w:line="489" w:lineRule="atLeast"/>
      <w:ind w:firstLine="709"/>
      <w:jc w:val="left"/>
    </w:pPr>
  </w:style>
  <w:style w:type="paragraph" w:styleId="13">
    <w:name w:val="Balloon Text"/>
    <w:basedOn w:val="1"/>
    <w:link w:val="44"/>
    <w:semiHidden/>
    <w:qFormat/>
    <w:locked/>
    <w:uiPriority w:val="99"/>
    <w:rPr>
      <w:sz w:val="18"/>
      <w:szCs w:val="18"/>
    </w:rPr>
  </w:style>
  <w:style w:type="paragraph" w:styleId="1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locked/>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8"/>
    <w:next w:val="8"/>
    <w:link w:val="43"/>
    <w:semiHidden/>
    <w:qFormat/>
    <w:locked/>
    <w:uiPriority w:val="99"/>
    <w:rPr>
      <w:b/>
      <w:bCs/>
    </w:rPr>
  </w:style>
  <w:style w:type="table" w:styleId="18">
    <w:name w:val="Table Grid"/>
    <w:basedOn w:val="1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99"/>
    <w:rPr>
      <w:rFonts w:cs="Times New Roman"/>
      <w:b/>
      <w:bCs/>
    </w:rPr>
  </w:style>
  <w:style w:type="character" w:styleId="21">
    <w:name w:val="Hyperlink"/>
    <w:basedOn w:val="19"/>
    <w:qFormat/>
    <w:uiPriority w:val="99"/>
    <w:rPr>
      <w:rFonts w:cs="Times New Roman"/>
      <w:color w:val="0000FF"/>
      <w:u w:val="single"/>
    </w:rPr>
  </w:style>
  <w:style w:type="character" w:styleId="22">
    <w:name w:val="annotation reference"/>
    <w:basedOn w:val="19"/>
    <w:semiHidden/>
    <w:qFormat/>
    <w:locked/>
    <w:uiPriority w:val="99"/>
    <w:rPr>
      <w:rFonts w:cs="Times New Roman"/>
      <w:sz w:val="21"/>
      <w:szCs w:val="21"/>
    </w:rPr>
  </w:style>
  <w:style w:type="paragraph" w:customStyle="1" w:styleId="23">
    <w:name w:val="_Style 3"/>
    <w:basedOn w:val="1"/>
    <w:next w:val="1"/>
    <w:qFormat/>
    <w:uiPriority w:val="99"/>
    <w:pPr>
      <w:spacing w:line="360" w:lineRule="auto"/>
      <w:ind w:firstLine="420" w:firstLineChars="200"/>
    </w:pPr>
    <w:rPr>
      <w:rFonts w:ascii="Calibri" w:hAnsi="Calibri"/>
      <w:sz w:val="24"/>
    </w:rPr>
  </w:style>
  <w:style w:type="character" w:customStyle="1" w:styleId="24">
    <w:name w:val="Heading 1 Char"/>
    <w:basedOn w:val="19"/>
    <w:link w:val="3"/>
    <w:qFormat/>
    <w:locked/>
    <w:uiPriority w:val="99"/>
    <w:rPr>
      <w:rFonts w:ascii="Abadi MT Condensed Light" w:hAnsi="Abadi MT Condensed Light" w:eastAsia="仿宋_GB2312" w:cs="Times New Roman"/>
      <w:b/>
      <w:bCs/>
      <w:kern w:val="44"/>
      <w:sz w:val="44"/>
      <w:szCs w:val="44"/>
    </w:rPr>
  </w:style>
  <w:style w:type="character" w:customStyle="1" w:styleId="25">
    <w:name w:val="Heading 2 Char"/>
    <w:basedOn w:val="19"/>
    <w:link w:val="4"/>
    <w:semiHidden/>
    <w:qFormat/>
    <w:locked/>
    <w:uiPriority w:val="99"/>
    <w:rPr>
      <w:rFonts w:ascii="Cambria" w:hAnsi="Cambria" w:eastAsia="宋体" w:cs="Times New Roman"/>
      <w:b/>
      <w:bCs/>
      <w:sz w:val="32"/>
      <w:szCs w:val="32"/>
    </w:rPr>
  </w:style>
  <w:style w:type="character" w:customStyle="1" w:styleId="26">
    <w:name w:val="Heading 3 Char"/>
    <w:basedOn w:val="19"/>
    <w:link w:val="5"/>
    <w:semiHidden/>
    <w:qFormat/>
    <w:locked/>
    <w:uiPriority w:val="99"/>
    <w:rPr>
      <w:rFonts w:ascii="Abadi MT Condensed Light" w:hAnsi="Abadi MT Condensed Light" w:eastAsia="仿宋_GB2312" w:cs="Times New Roman"/>
      <w:b/>
      <w:bCs/>
      <w:sz w:val="32"/>
      <w:szCs w:val="32"/>
    </w:rPr>
  </w:style>
  <w:style w:type="character" w:customStyle="1" w:styleId="27">
    <w:name w:val="Heading 4 Char"/>
    <w:basedOn w:val="19"/>
    <w:link w:val="6"/>
    <w:semiHidden/>
    <w:qFormat/>
    <w:locked/>
    <w:uiPriority w:val="99"/>
    <w:rPr>
      <w:rFonts w:ascii="Cambria" w:hAnsi="Cambria" w:eastAsia="宋体" w:cs="Times New Roman"/>
      <w:b/>
      <w:bCs/>
      <w:sz w:val="28"/>
      <w:szCs w:val="28"/>
    </w:rPr>
  </w:style>
  <w:style w:type="character" w:customStyle="1" w:styleId="28">
    <w:name w:val="Body Text Char"/>
    <w:basedOn w:val="19"/>
    <w:link w:val="9"/>
    <w:semiHidden/>
    <w:qFormat/>
    <w:locked/>
    <w:uiPriority w:val="99"/>
    <w:rPr>
      <w:rFonts w:ascii="Abadi MT Condensed Light" w:hAnsi="Abadi MT Condensed Light" w:eastAsia="仿宋_GB2312" w:cs="Times New Roman"/>
      <w:sz w:val="10"/>
    </w:rPr>
  </w:style>
  <w:style w:type="character" w:customStyle="1" w:styleId="29">
    <w:name w:val="Body Text Indent Char"/>
    <w:basedOn w:val="19"/>
    <w:link w:val="10"/>
    <w:semiHidden/>
    <w:qFormat/>
    <w:locked/>
    <w:uiPriority w:val="99"/>
    <w:rPr>
      <w:rFonts w:ascii="Abadi MT Condensed Light" w:hAnsi="Abadi MT Condensed Light" w:eastAsia="仿宋_GB2312" w:cs="Times New Roman"/>
      <w:sz w:val="10"/>
    </w:rPr>
  </w:style>
  <w:style w:type="character" w:customStyle="1" w:styleId="30">
    <w:name w:val="Plain Text Char"/>
    <w:basedOn w:val="19"/>
    <w:link w:val="11"/>
    <w:semiHidden/>
    <w:qFormat/>
    <w:locked/>
    <w:uiPriority w:val="99"/>
    <w:rPr>
      <w:rFonts w:ascii="宋体" w:hAnsi="Courier New" w:cs="Courier New"/>
      <w:sz w:val="21"/>
      <w:szCs w:val="21"/>
    </w:rPr>
  </w:style>
  <w:style w:type="character" w:customStyle="1" w:styleId="31">
    <w:name w:val="Body Text Indent 2 Char"/>
    <w:basedOn w:val="19"/>
    <w:link w:val="12"/>
    <w:semiHidden/>
    <w:qFormat/>
    <w:locked/>
    <w:uiPriority w:val="99"/>
    <w:rPr>
      <w:rFonts w:ascii="Abadi MT Condensed Light" w:hAnsi="Abadi MT Condensed Light" w:eastAsia="仿宋_GB2312" w:cs="Times New Roman"/>
      <w:sz w:val="10"/>
    </w:rPr>
  </w:style>
  <w:style w:type="character" w:customStyle="1" w:styleId="32">
    <w:name w:val="Footer Char"/>
    <w:basedOn w:val="19"/>
    <w:link w:val="2"/>
    <w:semiHidden/>
    <w:qFormat/>
    <w:locked/>
    <w:uiPriority w:val="99"/>
    <w:rPr>
      <w:rFonts w:ascii="Abadi MT Condensed Light" w:hAnsi="Abadi MT Condensed Light" w:eastAsia="仿宋_GB2312" w:cs="Times New Roman"/>
      <w:sz w:val="18"/>
      <w:szCs w:val="18"/>
    </w:rPr>
  </w:style>
  <w:style w:type="character" w:customStyle="1" w:styleId="33">
    <w:name w:val="Header Char"/>
    <w:basedOn w:val="19"/>
    <w:link w:val="14"/>
    <w:qFormat/>
    <w:locked/>
    <w:uiPriority w:val="99"/>
    <w:rPr>
      <w:rFonts w:ascii="Abadi MT Condensed Light" w:hAnsi="Abadi MT Condensed Light" w:eastAsia="仿宋_GB2312" w:cs="Times New Roman"/>
      <w:kern w:val="2"/>
      <w:sz w:val="18"/>
      <w:szCs w:val="18"/>
    </w:rPr>
  </w:style>
  <w:style w:type="paragraph" w:customStyle="1" w:styleId="34">
    <w:name w:val="标题 21"/>
    <w:basedOn w:val="1"/>
    <w:next w:val="1"/>
    <w:qFormat/>
    <w:uiPriority w:val="99"/>
    <w:pPr>
      <w:keepNext/>
      <w:keepLines/>
      <w:spacing w:before="260" w:after="260" w:line="416" w:lineRule="auto"/>
      <w:outlineLvl w:val="1"/>
    </w:pPr>
    <w:rPr>
      <w:rFonts w:ascii="Cambria" w:hAnsi="Cambria"/>
      <w:b/>
      <w:kern w:val="0"/>
      <w:sz w:val="32"/>
      <w:szCs w:val="20"/>
    </w:rPr>
  </w:style>
  <w:style w:type="paragraph" w:customStyle="1" w:styleId="35">
    <w:name w:val="Table Paragraph"/>
    <w:basedOn w:val="1"/>
    <w:qFormat/>
    <w:uiPriority w:val="99"/>
    <w:rPr>
      <w:rFonts w:ascii="宋体" w:hAnsi="宋体" w:eastAsia="宋体" w:cs="宋体"/>
      <w:lang w:val="zh-CN"/>
    </w:rPr>
  </w:style>
  <w:style w:type="paragraph" w:styleId="36">
    <w:name w:val="List Paragraph"/>
    <w:basedOn w:val="1"/>
    <w:qFormat/>
    <w:uiPriority w:val="99"/>
    <w:pPr>
      <w:ind w:left="371" w:firstLine="480"/>
    </w:pPr>
    <w:rPr>
      <w:rFonts w:ascii="宋体" w:hAnsi="宋体" w:eastAsia="宋体" w:cs="宋体"/>
      <w:lang w:val="zh-CN"/>
    </w:rPr>
  </w:style>
  <w:style w:type="paragraph" w:customStyle="1" w:styleId="37">
    <w:name w:val="TOC 标题1"/>
    <w:basedOn w:val="3"/>
    <w:next w:val="1"/>
    <w:qFormat/>
    <w:uiPriority w:val="99"/>
    <w:pPr>
      <w:spacing w:before="480" w:line="276" w:lineRule="auto"/>
      <w:outlineLvl w:val="9"/>
    </w:pPr>
    <w:rPr>
      <w:rFonts w:ascii="仿宋" w:hAnsi="仿宋" w:eastAsia="仿宋"/>
      <w:color w:val="000000"/>
      <w:kern w:val="0"/>
      <w:sz w:val="32"/>
      <w:szCs w:val="32"/>
    </w:rPr>
  </w:style>
  <w:style w:type="paragraph" w:customStyle="1" w:styleId="38">
    <w:name w:val="WPSOffice手动目录 1"/>
    <w:qFormat/>
    <w:uiPriority w:val="99"/>
    <w:rPr>
      <w:rFonts w:ascii="Calibri" w:hAnsi="Calibri" w:eastAsia="宋体" w:cs="Times New Roman"/>
      <w:kern w:val="0"/>
      <w:sz w:val="20"/>
      <w:szCs w:val="20"/>
      <w:lang w:val="en-US" w:eastAsia="zh-CN" w:bidi="ar-SA"/>
    </w:rPr>
  </w:style>
  <w:style w:type="paragraph" w:customStyle="1" w:styleId="39">
    <w:name w:val="WPSOffice手动目录 2"/>
    <w:qFormat/>
    <w:uiPriority w:val="99"/>
    <w:pPr>
      <w:ind w:left="200" w:leftChars="200"/>
    </w:pPr>
    <w:rPr>
      <w:rFonts w:ascii="Calibri" w:hAnsi="Calibri" w:eastAsia="宋体" w:cs="Times New Roman"/>
      <w:kern w:val="0"/>
      <w:sz w:val="20"/>
      <w:szCs w:val="20"/>
      <w:lang w:val="en-US" w:eastAsia="zh-CN" w:bidi="ar-SA"/>
    </w:rPr>
  </w:style>
  <w:style w:type="paragraph" w:customStyle="1" w:styleId="40">
    <w:name w:val="样式1"/>
    <w:basedOn w:val="1"/>
    <w:qFormat/>
    <w:uiPriority w:val="99"/>
  </w:style>
  <w:style w:type="paragraph" w:customStyle="1" w:styleId="41">
    <w:name w:val="表格"/>
    <w:basedOn w:val="7"/>
    <w:next w:val="7"/>
    <w:qFormat/>
    <w:uiPriority w:val="99"/>
    <w:pPr>
      <w:ind w:firstLine="0"/>
      <w:jc w:val="center"/>
    </w:pPr>
    <w:rPr>
      <w:rFonts w:ascii="Calibri" w:hAnsi="Calibri"/>
      <w:szCs w:val="20"/>
    </w:rPr>
  </w:style>
  <w:style w:type="character" w:customStyle="1" w:styleId="42">
    <w:name w:val="Comment Text Char"/>
    <w:basedOn w:val="19"/>
    <w:link w:val="8"/>
    <w:semiHidden/>
    <w:qFormat/>
    <w:locked/>
    <w:uiPriority w:val="99"/>
    <w:rPr>
      <w:rFonts w:ascii="Abadi MT Condensed Light" w:hAnsi="Abadi MT Condensed Light" w:eastAsia="仿宋_GB2312" w:cs="Times New Roman"/>
      <w:sz w:val="10"/>
    </w:rPr>
  </w:style>
  <w:style w:type="character" w:customStyle="1" w:styleId="43">
    <w:name w:val="Comment Subject Char"/>
    <w:basedOn w:val="42"/>
    <w:link w:val="16"/>
    <w:semiHidden/>
    <w:qFormat/>
    <w:locked/>
    <w:uiPriority w:val="99"/>
    <w:rPr>
      <w:b/>
      <w:bCs/>
    </w:rPr>
  </w:style>
  <w:style w:type="character" w:customStyle="1" w:styleId="44">
    <w:name w:val="Balloon Text Char"/>
    <w:basedOn w:val="19"/>
    <w:link w:val="13"/>
    <w:semiHidden/>
    <w:qFormat/>
    <w:locked/>
    <w:uiPriority w:val="99"/>
    <w:rPr>
      <w:rFonts w:ascii="Abadi MT Condensed Light" w:hAnsi="Abadi MT Condensed Light" w:eastAsia="仿宋_GB2312" w:cs="Times New Roman"/>
      <w:sz w:val="2"/>
    </w:rPr>
  </w:style>
  <w:style w:type="character" w:customStyle="1" w:styleId="45">
    <w:name w:val="font41"/>
    <w:basedOn w:val="19"/>
    <w:qFormat/>
    <w:uiPriority w:val="0"/>
    <w:rPr>
      <w:rFonts w:hint="eastAsia" w:ascii="宋体" w:hAnsi="宋体" w:eastAsia="宋体" w:cs="宋体"/>
      <w:color w:val="000000"/>
      <w:sz w:val="21"/>
      <w:szCs w:val="21"/>
      <w:u w:val="none"/>
    </w:rPr>
  </w:style>
  <w:style w:type="character" w:customStyle="1" w:styleId="46">
    <w:name w:val="font31"/>
    <w:basedOn w:val="19"/>
    <w:uiPriority w:val="0"/>
    <w:rPr>
      <w:rFonts w:hint="default" w:ascii="Times New Roman" w:hAnsi="Times New Roman" w:cs="Times New Roman"/>
      <w:color w:val="000000"/>
      <w:sz w:val="21"/>
      <w:szCs w:val="21"/>
      <w:u w:val="none"/>
    </w:rPr>
  </w:style>
  <w:style w:type="character" w:customStyle="1" w:styleId="47">
    <w:name w:val="font01"/>
    <w:basedOn w:val="19"/>
    <w:qFormat/>
    <w:uiPriority w:val="0"/>
    <w:rPr>
      <w:rFonts w:hint="default" w:ascii="Times New Roman" w:hAnsi="Times New Roman" w:cs="Times New Roman"/>
      <w:color w:val="0000FF"/>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2793</Words>
  <Characters>15926</Characters>
  <Lines>1</Lines>
  <Paragraphs>1</Paragraphs>
  <TotalTime>15</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2019-09-06T02:58:00Z</dcterms:created>
  <dc:creator>Administrator</dc:creator>
  <cp:lastModifiedBy>华仔</cp:lastModifiedBy>
  <cp:lastPrinted>2019-11-13T07:47:00Z</cp:lastPrinted>
  <dcterms:modified xsi:type="dcterms:W3CDTF">2019-12-04T12:29:28Z</dcterms:modified>
  <dc:title>项目编号：十采计备【2019】号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